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28A" w:rsidRDefault="009D24C3">
      <w:pPr>
        <w:pStyle w:val="Header"/>
        <w:tabs>
          <w:tab w:val="clear" w:pos="9072"/>
          <w:tab w:val="right" w:pos="9680"/>
        </w:tabs>
        <w:spacing w:line="264" w:lineRule="auto"/>
        <w:rPr>
          <w:rFonts w:ascii="Times New Roman" w:eastAsia="SimSun" w:hAnsi="Times New Roman"/>
          <w:sz w:val="24"/>
          <w:lang w:eastAsia="zh-CN"/>
        </w:rPr>
      </w:pPr>
      <w:r>
        <w:rPr>
          <w:rFonts w:ascii="Times New Roman" w:eastAsia="SimSun" w:hAnsi="Times New Roman"/>
          <w:sz w:val="24"/>
          <w:lang w:eastAsia="zh-CN"/>
        </w:rPr>
        <w:t>3GPP TSG RAN WG1 #115</w:t>
      </w:r>
      <w:r>
        <w:rPr>
          <w:rFonts w:ascii="Times New Roman" w:eastAsia="SimSun" w:hAnsi="Times New Roman"/>
          <w:sz w:val="24"/>
          <w:lang w:eastAsia="zh-CN"/>
        </w:rPr>
        <w:tab/>
      </w:r>
      <w:r>
        <w:rPr>
          <w:rFonts w:ascii="Times New Roman" w:eastAsia="SimSun" w:hAnsi="Times New Roman"/>
          <w:sz w:val="24"/>
          <w:lang w:eastAsia="zh-CN"/>
        </w:rPr>
        <w:tab/>
      </w:r>
      <w:r w:rsidR="00136757" w:rsidRPr="00136757">
        <w:rPr>
          <w:rFonts w:ascii="Times New Roman" w:eastAsia="SimSun" w:hAnsi="Times New Roman"/>
          <w:sz w:val="24"/>
          <w:lang w:eastAsia="zh-CN"/>
        </w:rPr>
        <w:t>R1-2311275</w:t>
      </w:r>
    </w:p>
    <w:p w:rsidR="00F7628A" w:rsidRDefault="009D24C3">
      <w:pPr>
        <w:pStyle w:val="Header"/>
        <w:rPr>
          <w:rFonts w:ascii="Times New Roman" w:eastAsiaTheme="minorEastAsia" w:hAnsi="Times New Roman"/>
          <w:sz w:val="24"/>
          <w:lang w:eastAsia="zh-CN"/>
        </w:rPr>
      </w:pPr>
      <w:r>
        <w:rPr>
          <w:rFonts w:ascii="Times New Roman" w:hAnsi="Times New Roman"/>
          <w:bCs/>
          <w:sz w:val="24"/>
          <w:lang w:eastAsia="ja-JP"/>
        </w:rPr>
        <w:t>Chicago, US, November 13</w:t>
      </w:r>
      <w:r>
        <w:rPr>
          <w:rFonts w:ascii="Times New Roman" w:eastAsia="Malgun Gothic" w:hAnsi="Times New Roman"/>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 November</w:t>
      </w:r>
      <w:r>
        <w:rPr>
          <w:rFonts w:ascii="Times New Roman" w:hAnsi="Times New Roman"/>
          <w:bCs/>
          <w:sz w:val="24"/>
          <w:lang w:eastAsia="ja-JP"/>
        </w:rPr>
        <w:t xml:space="preserve"> 17</w:t>
      </w:r>
      <w:r>
        <w:rPr>
          <w:rFonts w:ascii="Times New Roman" w:hAnsi="Times New Roman"/>
          <w:bCs/>
          <w:sz w:val="24"/>
          <w:vertAlign w:val="superscript"/>
          <w:lang w:eastAsia="ja-JP"/>
        </w:rPr>
        <w:t>th</w:t>
      </w:r>
      <w:r>
        <w:rPr>
          <w:rFonts w:ascii="Times New Roman" w:hAnsi="Times New Roman"/>
          <w:bCs/>
          <w:sz w:val="24"/>
          <w:lang w:eastAsia="ja-JP"/>
        </w:rPr>
        <w:t>, 2023</w:t>
      </w:r>
    </w:p>
    <w:p w:rsidR="00F7628A" w:rsidRDefault="00F7628A">
      <w:pPr>
        <w:pStyle w:val="Header"/>
        <w:rPr>
          <w:rFonts w:ascii="Times New Roman" w:eastAsiaTheme="minorEastAsia" w:hAnsi="Times New Roman"/>
          <w:color w:val="000000" w:themeColor="text1"/>
          <w:sz w:val="24"/>
          <w:szCs w:val="22"/>
          <w:lang w:eastAsia="zh-CN"/>
        </w:rPr>
      </w:pPr>
    </w:p>
    <w:p w:rsidR="00F7628A" w:rsidRDefault="009D24C3">
      <w:pPr>
        <w:pStyle w:val="Header"/>
        <w:tabs>
          <w:tab w:val="clear" w:pos="4536"/>
          <w:tab w:val="left" w:pos="1843"/>
        </w:tabs>
        <w:ind w:left="1560" w:hanging="1560"/>
        <w:rPr>
          <w:rFonts w:ascii="Times New Roman" w:eastAsia="SimSun" w:hAnsi="Times New Roman"/>
          <w:color w:val="000000" w:themeColor="text1"/>
          <w:sz w:val="24"/>
          <w:szCs w:val="22"/>
          <w:lang w:eastAsia="zh-CN"/>
        </w:rPr>
      </w:pPr>
      <w:r>
        <w:rPr>
          <w:rFonts w:ascii="Times New Roman" w:hAnsi="Times New Roman"/>
          <w:color w:val="000000" w:themeColor="text1"/>
          <w:sz w:val="24"/>
          <w:szCs w:val="22"/>
        </w:rPr>
        <w:t>Source:</w:t>
      </w:r>
      <w:r>
        <w:rPr>
          <w:rFonts w:ascii="Times New Roman" w:hAnsi="Times New Roman"/>
          <w:color w:val="000000" w:themeColor="text1"/>
          <w:sz w:val="24"/>
          <w:szCs w:val="22"/>
        </w:rPr>
        <w:tab/>
        <w:t xml:space="preserve"> </w:t>
      </w:r>
      <w:r>
        <w:rPr>
          <w:rFonts w:ascii="Times New Roman" w:eastAsia="SimSun" w:hAnsi="Times New Roman"/>
          <w:color w:val="000000" w:themeColor="text1"/>
          <w:sz w:val="24"/>
          <w:szCs w:val="22"/>
          <w:lang w:eastAsia="zh-CN"/>
        </w:rPr>
        <w:t>OPPO</w:t>
      </w:r>
    </w:p>
    <w:p w:rsidR="00F7628A" w:rsidRDefault="009D24C3" w:rsidP="00136757">
      <w:pPr>
        <w:pStyle w:val="Header"/>
        <w:tabs>
          <w:tab w:val="clear" w:pos="4536"/>
        </w:tabs>
        <w:ind w:left="1699" w:hangingChars="705" w:hanging="1699"/>
        <w:rPr>
          <w:rFonts w:ascii="Times New Roman" w:eastAsia="SimSun" w:hAnsi="Times New Roman"/>
          <w:b w:val="0"/>
          <w:color w:val="000000" w:themeColor="text1"/>
          <w:sz w:val="24"/>
          <w:szCs w:val="22"/>
          <w:lang w:eastAsia="zh-CN"/>
        </w:rPr>
      </w:pPr>
      <w:r>
        <w:rPr>
          <w:rFonts w:ascii="Times New Roman" w:hAnsi="Times New Roman"/>
          <w:color w:val="000000" w:themeColor="text1"/>
          <w:sz w:val="24"/>
          <w:szCs w:val="22"/>
        </w:rPr>
        <w:t xml:space="preserve">Title:          </w:t>
      </w:r>
      <w:r>
        <w:rPr>
          <w:rFonts w:ascii="Times New Roman" w:eastAsia="SimSun" w:hAnsi="Times New Roman"/>
          <w:color w:val="000000" w:themeColor="text1"/>
          <w:sz w:val="24"/>
          <w:szCs w:val="22"/>
        </w:rPr>
        <w:t>Remaining issues for multi-cell PUSCH/PDSCH scheduling with a single DCI</w:t>
      </w:r>
    </w:p>
    <w:p w:rsidR="00F7628A" w:rsidRDefault="009D24C3">
      <w:pPr>
        <w:pStyle w:val="Header"/>
        <w:tabs>
          <w:tab w:val="clear" w:pos="4536"/>
        </w:tabs>
        <w:ind w:left="1559" w:hangingChars="647" w:hanging="1559"/>
        <w:rPr>
          <w:rFonts w:ascii="Times New Roman" w:eastAsia="SimSun" w:hAnsi="Times New Roman"/>
          <w:color w:val="000000" w:themeColor="text1"/>
          <w:sz w:val="24"/>
          <w:szCs w:val="22"/>
          <w:lang w:eastAsia="zh-CN"/>
        </w:rPr>
      </w:pPr>
      <w:r>
        <w:rPr>
          <w:rFonts w:ascii="Times New Roman" w:eastAsia="SimSun" w:hAnsi="Times New Roman"/>
          <w:color w:val="000000" w:themeColor="text1"/>
          <w:sz w:val="24"/>
          <w:szCs w:val="22"/>
          <w:lang w:eastAsia="zh-CN"/>
        </w:rPr>
        <w:t>Agenda Item:   8.12.1</w:t>
      </w:r>
    </w:p>
    <w:p w:rsidR="00F7628A" w:rsidRDefault="009D24C3">
      <w:pPr>
        <w:pStyle w:val="Header"/>
        <w:rPr>
          <w:rFonts w:ascii="Times New Roman" w:eastAsia="SimSun" w:hAnsi="Times New Roman"/>
          <w:color w:val="000000" w:themeColor="text1"/>
          <w:sz w:val="24"/>
          <w:lang w:eastAsia="zh-CN"/>
        </w:rPr>
      </w:pPr>
      <w:r>
        <w:rPr>
          <w:rFonts w:ascii="Times New Roman" w:hAnsi="Times New Roman"/>
          <w:color w:val="000000" w:themeColor="text1"/>
          <w:sz w:val="24"/>
          <w:szCs w:val="22"/>
        </w:rPr>
        <w:t>Document for:  Discussio</w:t>
      </w:r>
      <w:r>
        <w:rPr>
          <w:rFonts w:ascii="Times New Roman" w:eastAsia="SimSun" w:hAnsi="Times New Roman"/>
          <w:color w:val="000000" w:themeColor="text1"/>
          <w:sz w:val="24"/>
          <w:szCs w:val="22"/>
          <w:lang w:eastAsia="zh-CN"/>
        </w:rPr>
        <w:t>n and Decision</w:t>
      </w:r>
    </w:p>
    <w:p w:rsidR="00F7628A" w:rsidRDefault="00F7628A">
      <w:pPr>
        <w:pBdr>
          <w:bottom w:val="single" w:sz="4" w:space="1" w:color="auto"/>
        </w:pBdr>
        <w:tabs>
          <w:tab w:val="left" w:pos="2552"/>
        </w:tabs>
        <w:spacing w:after="156"/>
        <w:rPr>
          <w:rFonts w:eastAsia="SimSun"/>
          <w:color w:val="000000" w:themeColor="text1"/>
          <w:lang w:eastAsia="zh-CN"/>
        </w:rPr>
      </w:pPr>
    </w:p>
    <w:p w:rsidR="00F7628A" w:rsidRDefault="009D24C3">
      <w:pPr>
        <w:pStyle w:val="Heading1"/>
        <w:rPr>
          <w:rFonts w:eastAsiaTheme="minorEastAsia"/>
          <w:color w:val="000000" w:themeColor="text1"/>
          <w:lang w:eastAsia="zh-CN"/>
        </w:rPr>
      </w:pPr>
      <w:r>
        <w:rPr>
          <w:rFonts w:eastAsiaTheme="minorEastAsia"/>
          <w:color w:val="000000" w:themeColor="text1"/>
          <w:lang w:eastAsia="zh-CN"/>
        </w:rPr>
        <w:t>Introduction</w:t>
      </w:r>
    </w:p>
    <w:p w:rsidR="00F7628A" w:rsidRDefault="009D24C3">
      <w:pPr>
        <w:rPr>
          <w:rFonts w:eastAsiaTheme="minorEastAsia"/>
          <w:szCs w:val="22"/>
          <w:lang w:eastAsia="zh-CN"/>
        </w:rPr>
      </w:pPr>
      <w:r>
        <w:rPr>
          <w:rFonts w:eastAsiaTheme="minorEastAsia"/>
          <w:szCs w:val="22"/>
          <w:lang w:eastAsia="zh-CN"/>
        </w:rPr>
        <w:t>In this document, we provide our views on the remaining issues for multi-cell PUSCH/PDSCH scheduling with a single DCI.</w:t>
      </w:r>
    </w:p>
    <w:p w:rsidR="00F7628A" w:rsidRDefault="009D24C3">
      <w:pPr>
        <w:pStyle w:val="Heading1"/>
        <w:rPr>
          <w:lang w:eastAsia="zh-CN"/>
        </w:rPr>
      </w:pPr>
      <w:r>
        <w:rPr>
          <w:lang w:eastAsia="zh-CN"/>
        </w:rPr>
        <w:t>Remaining issues for multi-cell scheduling</w:t>
      </w:r>
    </w:p>
    <w:p w:rsidR="00F7628A" w:rsidRDefault="009D24C3">
      <w:pPr>
        <w:pStyle w:val="Heading2"/>
        <w:rPr>
          <w:lang w:eastAsia="zh-CN"/>
        </w:rPr>
      </w:pPr>
      <w:r>
        <w:rPr>
          <w:rFonts w:hint="eastAsia"/>
          <w:lang w:eastAsia="zh-CN"/>
        </w:rPr>
        <w:t>I</w:t>
      </w:r>
      <w:r>
        <w:rPr>
          <w:lang w:eastAsia="zh-CN"/>
        </w:rPr>
        <w:t>nterpretation for Type-1A field</w:t>
      </w:r>
    </w:p>
    <w:p w:rsidR="00F7628A" w:rsidRDefault="009D24C3">
      <w:pPr>
        <w:rPr>
          <w:rFonts w:hAnsi="DejaVu Math TeX Gyre"/>
        </w:rPr>
      </w:pPr>
      <w:r>
        <w:rPr>
          <w:rFonts w:eastAsiaTheme="minorEastAsia"/>
          <w:lang w:eastAsia="zh-CN"/>
        </w:rPr>
        <w:t xml:space="preserve">The bit size of DCI field(s) defined or configured as Type-1A field is determined as the maximum required field size among all cells in the set of cells. Accordingly, the total number of code-points (assumed to be </w:t>
      </w:r>
      <w:r>
        <w:rPr>
          <w:rFonts w:eastAsiaTheme="minorEastAsia"/>
          <w:i/>
          <w:iCs/>
          <w:lang w:eastAsia="zh-CN"/>
        </w:rPr>
        <w:t>M</w:t>
      </w:r>
      <w:r>
        <w:rPr>
          <w:rFonts w:eastAsiaTheme="minorEastAsia"/>
          <w:lang w:eastAsia="zh-CN"/>
        </w:rPr>
        <w:t xml:space="preserve">) provided by a Type-1A field could be more than what a co-scheduled cell needs. Assume the </w:t>
      </w:r>
      <w:r>
        <w:rPr>
          <w:rFonts w:eastAsiaTheme="minorEastAsia"/>
          <w:i/>
          <w:iCs/>
          <w:lang w:eastAsia="zh-CN"/>
        </w:rPr>
        <w:t>i</w:t>
      </w:r>
      <w:r>
        <w:rPr>
          <w:rFonts w:eastAsiaTheme="minorEastAsia"/>
          <w:lang w:eastAsia="zh-CN"/>
        </w:rPr>
        <w:t xml:space="preserve">-th co-scheduled cell requires </w:t>
      </w:r>
      <w:r>
        <w:rPr>
          <w:rFonts w:eastAsiaTheme="minorEastAsia"/>
          <w:i/>
          <w:iCs/>
          <w:lang w:eastAsia="zh-CN"/>
        </w:rPr>
        <w:t>M</w:t>
      </w:r>
      <w:r>
        <w:rPr>
          <w:rFonts w:eastAsiaTheme="minorEastAsia"/>
          <w:i/>
          <w:iCs/>
          <w:vertAlign w:val="subscript"/>
          <w:lang w:eastAsia="zh-CN"/>
        </w:rPr>
        <w:t>i</w:t>
      </w:r>
      <w:r>
        <w:rPr>
          <w:rFonts w:eastAsiaTheme="minorEastAsia"/>
          <w:lang w:eastAsia="zh-CN"/>
        </w:rPr>
        <w:t xml:space="preserve"> values or code-points to be provided by the Type-1A field. In general, </w:t>
      </w:r>
      <w:r>
        <w:rPr>
          <w:rFonts w:eastAsiaTheme="minorEastAsia"/>
          <w:i/>
          <w:iCs/>
          <w:lang w:eastAsia="zh-CN"/>
        </w:rPr>
        <w:t>M</w:t>
      </w:r>
      <m:oMath>
        <m:r>
          <w:rPr>
            <w:rFonts w:ascii="DejaVu Math TeX Gyre" w:hAnsi="DejaVu Math TeX Gyre"/>
          </w:rPr>
          <m:t>≥</m:t>
        </m:r>
        <m:func>
          <m:funcPr>
            <m:ctrlPr>
              <w:rPr>
                <w:rFonts w:ascii="DejaVu Math TeX Gyre" w:hAnsi="DejaVu Math TeX Gyre"/>
                <w:i/>
                <w:iCs/>
              </w:rPr>
            </m:ctrlPr>
          </m:funcPr>
          <m:fName>
            <m:limLow>
              <m:limLowPr>
                <m:ctrlPr>
                  <w:rPr>
                    <w:rFonts w:ascii="DejaVu Math TeX Gyre" w:hAnsi="DejaVu Math TeX Gyre"/>
                    <w:iCs/>
                  </w:rPr>
                </m:ctrlPr>
              </m:limLowPr>
              <m:e>
                <m:r>
                  <m:rPr>
                    <m:sty m:val="p"/>
                  </m:rPr>
                  <w:rPr>
                    <w:rFonts w:ascii="DejaVu Math TeX Gyre" w:hAnsi="DejaVu Math TeX Gyre"/>
                  </w:rPr>
                  <m:t>max</m:t>
                </m:r>
                <m:ctrlPr>
                  <w:rPr>
                    <w:rFonts w:ascii="DejaVu Math TeX Gyre" w:hAnsi="DejaVu Math TeX Gyre"/>
                    <w:i/>
                    <w:iCs/>
                  </w:rPr>
                </m:ctrlPr>
              </m:e>
              <m:lim>
                <m:r>
                  <w:rPr>
                    <w:rFonts w:ascii="DejaVu Math TeX Gyre" w:hAnsi="DejaVu Math TeX Gyre"/>
                  </w:rPr>
                  <m:t>i</m:t>
                </m:r>
                <m:ctrlPr>
                  <w:rPr>
                    <w:rFonts w:ascii="DejaVu Math TeX Gyre" w:hAnsi="DejaVu Math TeX Gyre"/>
                    <w:i/>
                    <w:iCs/>
                  </w:rPr>
                </m:ctrlPr>
              </m:lim>
            </m:limLow>
          </m:fName>
          <m:e>
            <m:d>
              <m:dPr>
                <m:begChr m:val="{"/>
                <m:endChr m:val="}"/>
                <m:ctrlPr>
                  <w:rPr>
                    <w:rFonts w:ascii="DejaVu Math TeX Gyre" w:hAnsi="DejaVu Math TeX Gyre"/>
                    <w:i/>
                    <w:iCs/>
                  </w:rPr>
                </m:ctrlPr>
              </m:dPr>
              <m:e>
                <m:sSub>
                  <m:sSubPr>
                    <m:ctrlPr>
                      <w:rPr>
                        <w:rFonts w:ascii="DejaVu Math TeX Gyre" w:hAnsi="DejaVu Math TeX Gyre"/>
                        <w:i/>
                        <w:iCs/>
                      </w:rPr>
                    </m:ctrlPr>
                  </m:sSubPr>
                  <m:e>
                    <m:r>
                      <w:rPr>
                        <w:rFonts w:ascii="DejaVu Math TeX Gyre" w:hAnsi="DejaVu Math TeX Gyre"/>
                      </w:rPr>
                      <m:t>M</m:t>
                    </m:r>
                  </m:e>
                  <m:sub>
                    <m:r>
                      <w:rPr>
                        <w:rFonts w:ascii="DejaVu Math TeX Gyre" w:hAnsi="DejaVu Math TeX Gyre"/>
                      </w:rPr>
                      <m:t>i</m:t>
                    </m:r>
                  </m:sub>
                </m:sSub>
              </m:e>
            </m:d>
          </m:e>
        </m:func>
      </m:oMath>
      <w:r>
        <w:rPr>
          <w:i/>
          <w:iCs/>
        </w:rPr>
        <w:t>≥</w:t>
      </w:r>
      <w:r>
        <w:rPr>
          <w:rFonts w:hAnsi="DejaVu Math TeX Gyre"/>
          <w:i/>
          <w:iCs/>
        </w:rPr>
        <w:t>M</w:t>
      </w:r>
      <w:r>
        <w:rPr>
          <w:rFonts w:hAnsi="DejaVu Math TeX Gyre"/>
          <w:i/>
          <w:iCs/>
          <w:vertAlign w:val="subscript"/>
        </w:rPr>
        <w:t>i</w:t>
      </w:r>
      <w:r>
        <w:rPr>
          <w:rFonts w:hAnsi="DejaVu Math TeX Gyre"/>
        </w:rPr>
        <w:t xml:space="preserve"> for all </w:t>
      </w:r>
      <w:r>
        <w:rPr>
          <w:rFonts w:hAnsi="DejaVu Math TeX Gyre"/>
          <w:i/>
          <w:iCs/>
        </w:rPr>
        <w:t>i</w:t>
      </w:r>
      <w:r>
        <w:rPr>
          <w:rFonts w:eastAsiaTheme="minorEastAsia"/>
          <w:lang w:eastAsia="zh-CN"/>
        </w:rPr>
        <w:t xml:space="preserve">. With the observation that the i-th co-scheduled cell needs only </w:t>
      </w:r>
      <w:r>
        <w:rPr>
          <w:rFonts w:hAnsi="DejaVu Math TeX Gyre"/>
          <w:i/>
          <w:iCs/>
        </w:rPr>
        <w:t>M</w:t>
      </w:r>
      <w:r>
        <w:rPr>
          <w:rFonts w:hAnsi="DejaVu Math TeX Gyre"/>
          <w:i/>
          <w:iCs/>
          <w:vertAlign w:val="subscript"/>
        </w:rPr>
        <w:t xml:space="preserve">i </w:t>
      </w:r>
      <w:r>
        <w:rPr>
          <w:rFonts w:eastAsiaTheme="minorEastAsia"/>
          <w:lang w:eastAsia="zh-CN"/>
        </w:rPr>
        <w:t xml:space="preserve">code-points from the Type-1A field which however provides </w:t>
      </w:r>
      <w:r>
        <w:rPr>
          <w:rFonts w:eastAsiaTheme="minorEastAsia"/>
          <w:i/>
          <w:iCs/>
          <w:lang w:eastAsia="zh-CN"/>
        </w:rPr>
        <w:t>M</w:t>
      </w:r>
      <w:r>
        <w:rPr>
          <w:i/>
          <w:iCs/>
        </w:rPr>
        <w:t>≥</w:t>
      </w:r>
      <w:r>
        <w:rPr>
          <w:rFonts w:hAnsi="DejaVu Math TeX Gyre"/>
          <w:i/>
          <w:iCs/>
        </w:rPr>
        <w:t>M</w:t>
      </w:r>
      <w:r>
        <w:rPr>
          <w:rFonts w:hAnsi="DejaVu Math TeX Gyre"/>
          <w:i/>
          <w:iCs/>
          <w:vertAlign w:val="subscript"/>
        </w:rPr>
        <w:t>i</w:t>
      </w:r>
      <w:r>
        <w:rPr>
          <w:rFonts w:hAnsi="DejaVu Math TeX Gyre"/>
        </w:rPr>
        <w:t xml:space="preserve"> code-points for all co-scheduled cells, there are three design options in the interpretation of excessive code-points: </w:t>
      </w:r>
    </w:p>
    <w:p w:rsidR="00F7628A" w:rsidRDefault="009D24C3">
      <w:pPr>
        <w:numPr>
          <w:ilvl w:val="0"/>
          <w:numId w:val="3"/>
        </w:numPr>
        <w:tabs>
          <w:tab w:val="clear" w:pos="420"/>
          <w:tab w:val="left" w:pos="880"/>
        </w:tabs>
        <w:ind w:left="880"/>
        <w:rPr>
          <w:rFonts w:eastAsiaTheme="minorEastAsia"/>
          <w:lang w:eastAsia="zh-CN"/>
        </w:rPr>
      </w:pPr>
      <w:r>
        <w:rPr>
          <w:rFonts w:hAnsi="DejaVu Math TeX Gyre"/>
        </w:rPr>
        <w:t xml:space="preserve">Option-1: For </w:t>
      </w:r>
      <w:r>
        <w:rPr>
          <w:rFonts w:hAnsi="DejaVu Math TeX Gyre"/>
          <w:i/>
          <w:iCs/>
        </w:rPr>
        <w:t>i</w:t>
      </w:r>
      <w:r>
        <w:rPr>
          <w:rFonts w:hAnsi="DejaVu Math TeX Gyre"/>
        </w:rPr>
        <w:t xml:space="preserve">-th co-scheduled cell, all </w:t>
      </w:r>
      <w:r>
        <w:rPr>
          <w:rFonts w:hAnsi="DejaVu Math TeX Gyre"/>
          <w:i/>
          <w:iCs/>
        </w:rPr>
        <w:t>M</w:t>
      </w:r>
      <w:r>
        <w:rPr>
          <w:rFonts w:hAnsi="DejaVu Math TeX Gyre"/>
        </w:rPr>
        <w:t xml:space="preserve"> code-points provided by the Type-1A field are valid. There can be multi-t</w:t>
      </w:r>
      <w:r w:rsidR="00136757">
        <w:rPr>
          <w:rFonts w:hAnsi="DejaVu Math TeX Gyre"/>
        </w:rPr>
        <w:t>o-one code-point mapping to map</w:t>
      </w:r>
      <w:r>
        <w:rPr>
          <w:rFonts w:hAnsi="DejaVu Math TeX Gyre"/>
        </w:rPr>
        <w:t xml:space="preserve"> </w:t>
      </w:r>
      <w:r>
        <w:rPr>
          <w:rFonts w:hAnsi="DejaVu Math TeX Gyre"/>
          <w:i/>
          <w:iCs/>
        </w:rPr>
        <w:t>M</w:t>
      </w:r>
      <w:r>
        <w:rPr>
          <w:rFonts w:hAnsi="DejaVu Math TeX Gyre"/>
        </w:rPr>
        <w:t xml:space="preserve"> code-points to </w:t>
      </w:r>
      <w:r>
        <w:rPr>
          <w:rFonts w:hAnsi="DejaVu Math TeX Gyre"/>
          <w:i/>
          <w:iCs/>
        </w:rPr>
        <w:t>M</w:t>
      </w:r>
      <w:r>
        <w:rPr>
          <w:rFonts w:hAnsi="DejaVu Math TeX Gyre"/>
          <w:i/>
          <w:iCs/>
          <w:vertAlign w:val="subscript"/>
        </w:rPr>
        <w:t>i</w:t>
      </w:r>
      <w:r>
        <w:rPr>
          <w:rFonts w:hAnsi="DejaVu Math TeX Gyre"/>
        </w:rPr>
        <w:t xml:space="preserve"> values. Examples to implement Option-1 include: </w:t>
      </w:r>
    </w:p>
    <w:p w:rsidR="00F7628A" w:rsidRDefault="009D24C3">
      <w:pPr>
        <w:numPr>
          <w:ilvl w:val="1"/>
          <w:numId w:val="3"/>
        </w:numPr>
        <w:tabs>
          <w:tab w:val="clear" w:pos="840"/>
          <w:tab w:val="left" w:pos="880"/>
        </w:tabs>
        <w:ind w:left="1300"/>
        <w:rPr>
          <w:rFonts w:eastAsiaTheme="minorEastAsia"/>
          <w:lang w:eastAsia="zh-CN"/>
        </w:rPr>
      </w:pPr>
      <w:r>
        <w:rPr>
          <w:rFonts w:hAnsi="DejaVu Math TeX Gyre"/>
        </w:rPr>
        <w:t>Example 1-1: Use modulo operation of (</w:t>
      </w:r>
      <w:r>
        <w:rPr>
          <w:rFonts w:hAnsi="DejaVu Math TeX Gyre"/>
          <w:i/>
          <w:iCs/>
        </w:rPr>
        <w:t>m mod M</w:t>
      </w:r>
      <w:r>
        <w:rPr>
          <w:rFonts w:hAnsi="DejaVu Math TeX Gyre"/>
          <w:i/>
          <w:iCs/>
          <w:vertAlign w:val="subscript"/>
        </w:rPr>
        <w:t>i</w:t>
      </w:r>
      <w:r>
        <w:rPr>
          <w:rFonts w:hAnsi="DejaVu Math TeX Gyre"/>
        </w:rPr>
        <w:t xml:space="preserve">) to determine reference to one of </w:t>
      </w:r>
      <w:r>
        <w:rPr>
          <w:rFonts w:hAnsi="DejaVu Math TeX Gyre"/>
          <w:i/>
          <w:iCs/>
        </w:rPr>
        <w:t>M</w:t>
      </w:r>
      <w:r>
        <w:rPr>
          <w:rFonts w:hAnsi="DejaVu Math TeX Gyre"/>
          <w:i/>
          <w:iCs/>
          <w:vertAlign w:val="subscript"/>
        </w:rPr>
        <w:t>i</w:t>
      </w:r>
      <w:r>
        <w:rPr>
          <w:rFonts w:hAnsi="DejaVu Math TeX Gyre"/>
        </w:rPr>
        <w:t xml:space="preserve"> values from the value </w:t>
      </w:r>
      <w:r>
        <w:rPr>
          <w:rFonts w:hAnsi="DejaVu Math TeX Gyre"/>
          <w:i/>
          <w:iCs/>
        </w:rPr>
        <w:t>m</w:t>
      </w:r>
      <w:r>
        <w:rPr>
          <w:rFonts w:hAnsi="DejaVu Math TeX Gyre"/>
        </w:rPr>
        <w:t xml:space="preserve"> indicated by the Type-1A field. If </w:t>
      </w:r>
      <w:r>
        <w:rPr>
          <w:rFonts w:hAnsi="DejaVu Math TeX Gyre"/>
          <w:i/>
          <w:iCs/>
        </w:rPr>
        <w:t>M</w:t>
      </w:r>
      <w:r>
        <w:rPr>
          <w:rFonts w:hAnsi="DejaVu Math TeX Gyre"/>
          <w:i/>
          <w:iCs/>
          <w:vertAlign w:val="subscript"/>
        </w:rPr>
        <w:t>i</w:t>
      </w:r>
      <w:r>
        <w:rPr>
          <w:rFonts w:hAnsi="DejaVu Math TeX Gyre"/>
        </w:rPr>
        <w:t xml:space="preserve"> equals to </w:t>
      </w:r>
      <w:r>
        <w:rPr>
          <w:rFonts w:hAnsi="DejaVu Math TeX Gyre"/>
          <w:i/>
          <w:iCs/>
        </w:rPr>
        <w:t>2</w:t>
      </w:r>
      <w:r>
        <w:rPr>
          <w:rFonts w:hAnsi="DejaVu Math TeX Gyre"/>
          <w:i/>
          <w:iCs/>
          <w:vertAlign w:val="superscript"/>
        </w:rPr>
        <w:t>k</w:t>
      </w:r>
      <w:r>
        <w:rPr>
          <w:rFonts w:hAnsi="DejaVu Math TeX Gyre"/>
        </w:rPr>
        <w:t xml:space="preserve"> for an integer </w:t>
      </w:r>
      <w:r>
        <w:rPr>
          <w:rFonts w:hAnsi="DejaVu Math TeX Gyre"/>
          <w:i/>
          <w:iCs/>
        </w:rPr>
        <w:t>k</w:t>
      </w:r>
      <w:r>
        <w:rPr>
          <w:rFonts w:hAnsi="DejaVu Math TeX Gyre"/>
        </w:rPr>
        <w:t xml:space="preserve">, this modulo operation is equivalent to using </w:t>
      </w:r>
      <w:r>
        <w:rPr>
          <w:rFonts w:hAnsi="DejaVu Math TeX Gyre"/>
          <w:i/>
          <w:iCs/>
        </w:rPr>
        <w:t>k</w:t>
      </w:r>
      <w:r>
        <w:rPr>
          <w:rFonts w:hAnsi="DejaVu Math TeX Gyre"/>
        </w:rPr>
        <w:t xml:space="preserve"> LSB bits in the Type-1A field.   </w:t>
      </w:r>
    </w:p>
    <w:p w:rsidR="00F7628A" w:rsidRDefault="009D24C3">
      <w:pPr>
        <w:numPr>
          <w:ilvl w:val="1"/>
          <w:numId w:val="3"/>
        </w:numPr>
        <w:tabs>
          <w:tab w:val="clear" w:pos="840"/>
          <w:tab w:val="left" w:pos="880"/>
        </w:tabs>
        <w:ind w:left="1300"/>
        <w:rPr>
          <w:rFonts w:eastAsiaTheme="minorEastAsia"/>
          <w:lang w:eastAsia="zh-CN"/>
        </w:rPr>
      </w:pPr>
      <w:r>
        <w:rPr>
          <w:rFonts w:hAnsi="DejaVu Math TeX Gyre"/>
        </w:rPr>
        <w:t xml:space="preserve">Example 1-2: The excessive </w:t>
      </w:r>
      <w:r>
        <w:rPr>
          <w:rFonts w:hAnsi="DejaVu Math TeX Gyre"/>
          <w:i/>
          <w:iCs/>
        </w:rPr>
        <w:t>M-M</w:t>
      </w:r>
      <w:r>
        <w:rPr>
          <w:rFonts w:hAnsi="DejaVu Math TeX Gyre"/>
          <w:i/>
          <w:iCs/>
          <w:vertAlign w:val="subscript"/>
        </w:rPr>
        <w:t>i</w:t>
      </w:r>
      <w:r>
        <w:rPr>
          <w:rFonts w:hAnsi="DejaVu Math TeX Gyre"/>
        </w:rPr>
        <w:t xml:space="preserve"> code-points are mapped to a fixed valu</w:t>
      </w:r>
      <w:r w:rsidR="00447159">
        <w:rPr>
          <w:rFonts w:hAnsi="DejaVu Math TeX Gyre"/>
        </w:rPr>
        <w:t>e that is referred to by one of</w:t>
      </w:r>
      <w:r>
        <w:rPr>
          <w:rFonts w:hAnsi="DejaVu Math TeX Gyre"/>
        </w:rPr>
        <w:t xml:space="preserve"> </w:t>
      </w:r>
      <w:r>
        <w:rPr>
          <w:rFonts w:hAnsi="DejaVu Math TeX Gyre"/>
          <w:i/>
          <w:iCs/>
        </w:rPr>
        <w:t>M</w:t>
      </w:r>
      <w:r>
        <w:rPr>
          <w:rFonts w:hAnsi="DejaVu Math TeX Gyre"/>
          <w:i/>
          <w:iCs/>
          <w:vertAlign w:val="subscript"/>
        </w:rPr>
        <w:t>i</w:t>
      </w:r>
      <w:r>
        <w:rPr>
          <w:rFonts w:hAnsi="DejaVu Math TeX Gyre"/>
        </w:rPr>
        <w:t xml:space="preserve"> code-points. In other words, (</w:t>
      </w:r>
      <w:r>
        <w:rPr>
          <w:rFonts w:hAnsi="DejaVu Math TeX Gyre"/>
          <w:i/>
          <w:iCs/>
        </w:rPr>
        <w:t>M</w:t>
      </w:r>
      <w:r>
        <w:rPr>
          <w:rFonts w:hAnsi="DejaVu Math TeX Gyre"/>
          <w:i/>
          <w:iCs/>
          <w:vertAlign w:val="subscript"/>
        </w:rPr>
        <w:t>i</w:t>
      </w:r>
      <w:r>
        <w:rPr>
          <w:rFonts w:hAnsi="DejaVu Math TeX Gyre"/>
          <w:i/>
          <w:iCs/>
        </w:rPr>
        <w:t>-1</w:t>
      </w:r>
      <w:r>
        <w:rPr>
          <w:rFonts w:hAnsi="DejaVu Math TeX Gyre"/>
        </w:rPr>
        <w:t>) code-points have one-to-one mapping, while the other (</w:t>
      </w:r>
      <w:r>
        <w:rPr>
          <w:rFonts w:hAnsi="DejaVu Math TeX Gyre"/>
          <w:i/>
          <w:iCs/>
        </w:rPr>
        <w:t>M-M</w:t>
      </w:r>
      <w:r>
        <w:rPr>
          <w:rFonts w:hAnsi="DejaVu Math TeX Gyre"/>
          <w:i/>
          <w:iCs/>
          <w:vertAlign w:val="subscript"/>
        </w:rPr>
        <w:t>i</w:t>
      </w:r>
      <w:r>
        <w:rPr>
          <w:rFonts w:hAnsi="DejaVu Math TeX Gyre"/>
          <w:i/>
          <w:iCs/>
        </w:rPr>
        <w:t>+1</w:t>
      </w:r>
      <w:r>
        <w:rPr>
          <w:rFonts w:hAnsi="DejaVu Math TeX Gyre"/>
        </w:rPr>
        <w:t>) code-points have (</w:t>
      </w:r>
      <w:r>
        <w:rPr>
          <w:rFonts w:hAnsi="DejaVu Math TeX Gyre"/>
          <w:i/>
          <w:iCs/>
        </w:rPr>
        <w:t>M-M</w:t>
      </w:r>
      <w:r>
        <w:rPr>
          <w:rFonts w:hAnsi="DejaVu Math TeX Gyre"/>
          <w:i/>
          <w:iCs/>
          <w:vertAlign w:val="subscript"/>
        </w:rPr>
        <w:t>i</w:t>
      </w:r>
      <w:r>
        <w:rPr>
          <w:rFonts w:hAnsi="DejaVu Math TeX Gyre"/>
          <w:i/>
          <w:iCs/>
        </w:rPr>
        <w:t>+1</w:t>
      </w:r>
      <w:r>
        <w:rPr>
          <w:rFonts w:hAnsi="DejaVu Math TeX Gyre"/>
        </w:rPr>
        <w:t xml:space="preserve">)-to-one mapping. </w:t>
      </w:r>
    </w:p>
    <w:p w:rsidR="00F7628A" w:rsidRDefault="009D24C3">
      <w:pPr>
        <w:numPr>
          <w:ilvl w:val="0"/>
          <w:numId w:val="3"/>
        </w:numPr>
        <w:tabs>
          <w:tab w:val="clear" w:pos="420"/>
          <w:tab w:val="left" w:pos="880"/>
        </w:tabs>
        <w:ind w:left="880"/>
        <w:rPr>
          <w:rFonts w:eastAsiaTheme="minorEastAsia"/>
          <w:lang w:eastAsia="zh-CN"/>
        </w:rPr>
      </w:pPr>
      <w:r>
        <w:rPr>
          <w:rFonts w:hAnsi="DejaVu Math TeX Gyre"/>
        </w:rPr>
        <w:t xml:space="preserve">Option-2: For </w:t>
      </w:r>
      <w:r>
        <w:rPr>
          <w:rFonts w:hAnsi="DejaVu Math TeX Gyre"/>
          <w:i/>
          <w:iCs/>
        </w:rPr>
        <w:t>i</w:t>
      </w:r>
      <w:r>
        <w:rPr>
          <w:rFonts w:hAnsi="DejaVu Math TeX Gyre"/>
        </w:rPr>
        <w:t xml:space="preserve">-th co-scheduled cell, only </w:t>
      </w:r>
      <w:r>
        <w:rPr>
          <w:rFonts w:hAnsi="DejaVu Math TeX Gyre"/>
          <w:i/>
          <w:iCs/>
        </w:rPr>
        <w:t>M</w:t>
      </w:r>
      <w:r>
        <w:rPr>
          <w:rFonts w:hAnsi="DejaVu Math TeX Gyre"/>
          <w:i/>
          <w:iCs/>
          <w:vertAlign w:val="subscript"/>
        </w:rPr>
        <w:t>i</w:t>
      </w:r>
      <w:r>
        <w:rPr>
          <w:rFonts w:hAnsi="DejaVu Math TeX Gyre"/>
        </w:rPr>
        <w:t xml:space="preserve"> out of </w:t>
      </w:r>
      <w:r>
        <w:rPr>
          <w:rFonts w:hAnsi="DejaVu Math TeX Gyre"/>
          <w:i/>
          <w:iCs/>
        </w:rPr>
        <w:t>M</w:t>
      </w:r>
      <w:r>
        <w:rPr>
          <w:rFonts w:hAnsi="DejaVu Math TeX Gyre"/>
        </w:rPr>
        <w:t xml:space="preserve"> code-points provided by the Type-1A field are valid in providing one-to-one code-point mapping, and the remaining </w:t>
      </w:r>
      <w:r>
        <w:rPr>
          <w:rFonts w:hAnsi="DejaVu Math TeX Gyre"/>
          <w:i/>
          <w:iCs/>
        </w:rPr>
        <w:t>M-M</w:t>
      </w:r>
      <w:r>
        <w:rPr>
          <w:rFonts w:hAnsi="DejaVu Math TeX Gyre"/>
          <w:i/>
          <w:iCs/>
          <w:vertAlign w:val="subscript"/>
        </w:rPr>
        <w:t>i</w:t>
      </w:r>
      <w:r>
        <w:rPr>
          <w:rFonts w:hAnsi="DejaVu Math TeX Gyre"/>
        </w:rPr>
        <w:t xml:space="preserve"> code-points provided by the Type-1A field are considered invalid when being applied to </w:t>
      </w:r>
      <w:r>
        <w:rPr>
          <w:rFonts w:hAnsi="DejaVu Math TeX Gyre"/>
          <w:i/>
          <w:iCs/>
        </w:rPr>
        <w:t>i</w:t>
      </w:r>
      <w:r>
        <w:rPr>
          <w:rFonts w:hAnsi="DejaVu Math TeX Gyre"/>
        </w:rPr>
        <w:t>-th co-scheduled cell. Example to implement Option-2 include:</w:t>
      </w:r>
      <w:r>
        <w:rPr>
          <w:rFonts w:eastAsiaTheme="minorEastAsia"/>
          <w:lang w:eastAsia="zh-CN"/>
        </w:rPr>
        <w:t xml:space="preserve"> </w:t>
      </w:r>
    </w:p>
    <w:p w:rsidR="00F7628A" w:rsidRDefault="009D24C3">
      <w:pPr>
        <w:numPr>
          <w:ilvl w:val="1"/>
          <w:numId w:val="3"/>
        </w:numPr>
        <w:tabs>
          <w:tab w:val="clear" w:pos="840"/>
          <w:tab w:val="left" w:pos="880"/>
        </w:tabs>
        <w:ind w:left="1300"/>
        <w:rPr>
          <w:rFonts w:eastAsiaTheme="minorEastAsia"/>
          <w:lang w:eastAsia="zh-CN"/>
        </w:rPr>
      </w:pPr>
      <w:r>
        <w:rPr>
          <w:rFonts w:eastAsiaTheme="minorEastAsia"/>
          <w:lang w:eastAsia="zh-CN"/>
        </w:rPr>
        <w:t xml:space="preserve">Example 2-1: Ignore the value indicated by the Type-1A field if the indication goes beyond </w:t>
      </w:r>
      <w:r>
        <w:rPr>
          <w:rFonts w:hAnsi="DejaVu Math TeX Gyre"/>
          <w:i/>
          <w:iCs/>
        </w:rPr>
        <w:t>M</w:t>
      </w:r>
      <w:r>
        <w:rPr>
          <w:rFonts w:hAnsi="DejaVu Math TeX Gyre"/>
          <w:i/>
          <w:iCs/>
          <w:vertAlign w:val="subscript"/>
        </w:rPr>
        <w:t>i</w:t>
      </w:r>
      <w:r>
        <w:rPr>
          <w:rFonts w:eastAsiaTheme="minorEastAsia"/>
          <w:lang w:eastAsia="zh-CN"/>
        </w:rPr>
        <w:t xml:space="preserve">. </w:t>
      </w:r>
    </w:p>
    <w:p w:rsidR="00F7628A" w:rsidRDefault="009D24C3">
      <w:pPr>
        <w:numPr>
          <w:ilvl w:val="0"/>
          <w:numId w:val="3"/>
        </w:numPr>
        <w:tabs>
          <w:tab w:val="clear" w:pos="420"/>
          <w:tab w:val="left" w:pos="880"/>
        </w:tabs>
        <w:ind w:left="880"/>
        <w:rPr>
          <w:rFonts w:eastAsiaTheme="minorEastAsia"/>
          <w:lang w:eastAsia="zh-CN"/>
        </w:rPr>
      </w:pPr>
      <w:r>
        <w:rPr>
          <w:rFonts w:eastAsiaTheme="minorEastAsia"/>
          <w:lang w:eastAsia="zh-CN"/>
        </w:rPr>
        <w:lastRenderedPageBreak/>
        <w:t xml:space="preserve">Option-3: As a combination of Option-1 and Option-2, there can be at least one invalid code-point among </w:t>
      </w:r>
      <w:r>
        <w:rPr>
          <w:rFonts w:eastAsiaTheme="minorEastAsia"/>
          <w:i/>
          <w:iCs/>
          <w:lang w:eastAsia="zh-CN"/>
        </w:rPr>
        <w:t>M</w:t>
      </w:r>
      <w:r>
        <w:rPr>
          <w:rFonts w:eastAsiaTheme="minorEastAsia"/>
          <w:lang w:eastAsia="zh-CN"/>
        </w:rPr>
        <w:t xml:space="preserve"> code-points, and meanwhile there is at least one multi-to-one mapping from some of </w:t>
      </w:r>
      <w:r>
        <w:rPr>
          <w:rFonts w:eastAsiaTheme="minorEastAsia"/>
          <w:i/>
          <w:iCs/>
          <w:lang w:eastAsia="zh-CN"/>
        </w:rPr>
        <w:t>M</w:t>
      </w:r>
      <w:r>
        <w:rPr>
          <w:rFonts w:eastAsiaTheme="minorEastAsia"/>
          <w:lang w:eastAsia="zh-CN"/>
        </w:rPr>
        <w:t xml:space="preserve"> code-points to one of </w:t>
      </w:r>
      <w:r>
        <w:rPr>
          <w:rFonts w:eastAsiaTheme="minorEastAsia"/>
          <w:i/>
          <w:iCs/>
          <w:lang w:eastAsia="zh-CN"/>
        </w:rPr>
        <w:t>M</w:t>
      </w:r>
      <w:r>
        <w:rPr>
          <w:rFonts w:eastAsiaTheme="minorEastAsia"/>
          <w:i/>
          <w:iCs/>
          <w:vertAlign w:val="subscript"/>
          <w:lang w:eastAsia="zh-CN"/>
        </w:rPr>
        <w:t>i</w:t>
      </w:r>
      <w:r>
        <w:rPr>
          <w:rFonts w:eastAsiaTheme="minorEastAsia"/>
          <w:lang w:eastAsia="zh-CN"/>
        </w:rPr>
        <w:t xml:space="preserve"> values.</w:t>
      </w:r>
    </w:p>
    <w:p w:rsidR="00F7628A" w:rsidRDefault="009D24C3">
      <w:pPr>
        <w:numPr>
          <w:ilvl w:val="1"/>
          <w:numId w:val="3"/>
        </w:numPr>
        <w:tabs>
          <w:tab w:val="clear" w:pos="840"/>
          <w:tab w:val="left" w:pos="880"/>
        </w:tabs>
        <w:ind w:left="1300"/>
        <w:rPr>
          <w:rFonts w:eastAsiaTheme="minorEastAsia"/>
          <w:lang w:eastAsia="zh-CN"/>
        </w:rPr>
      </w:pPr>
      <w:r>
        <w:rPr>
          <w:rFonts w:eastAsiaTheme="minorEastAsia"/>
          <w:lang w:eastAsia="zh-CN"/>
        </w:rPr>
        <w:t xml:space="preserve">Example 3-1 (FL proposal 3-5rev1 in RAN1 #114bis): Use LSBs for the cell which requires smaller size for BWP indicator field, and ignore the invalid value within LSBs which happens when </w:t>
      </w:r>
      <w:r>
        <w:rPr>
          <w:rFonts w:hAnsi="DejaVu Math TeX Gyre"/>
          <w:i/>
          <w:iCs/>
        </w:rPr>
        <w:t>M</w:t>
      </w:r>
      <w:r>
        <w:rPr>
          <w:rFonts w:hAnsi="DejaVu Math TeX Gyre"/>
          <w:i/>
          <w:iCs/>
          <w:vertAlign w:val="subscript"/>
        </w:rPr>
        <w:t>i</w:t>
      </w:r>
      <w:r>
        <w:rPr>
          <w:rFonts w:hAnsi="DejaVu Math TeX Gyre"/>
        </w:rPr>
        <w:t xml:space="preserve"> is not equal to </w:t>
      </w:r>
      <w:r>
        <w:rPr>
          <w:rFonts w:hAnsi="DejaVu Math TeX Gyre"/>
          <w:i/>
          <w:iCs/>
        </w:rPr>
        <w:t>2</w:t>
      </w:r>
      <w:r>
        <w:rPr>
          <w:rFonts w:hAnsi="DejaVu Math TeX Gyre"/>
          <w:i/>
          <w:iCs/>
          <w:vertAlign w:val="superscript"/>
        </w:rPr>
        <w:t>k</w:t>
      </w:r>
      <w:r>
        <w:rPr>
          <w:rFonts w:hAnsi="DejaVu Math TeX Gyre"/>
        </w:rPr>
        <w:t xml:space="preserve"> for an integer </w:t>
      </w:r>
      <w:r>
        <w:rPr>
          <w:rFonts w:hAnsi="DejaVu Math TeX Gyre"/>
          <w:i/>
          <w:iCs/>
        </w:rPr>
        <w:t>k</w:t>
      </w:r>
      <w:r>
        <w:rPr>
          <w:rFonts w:hAnsi="DejaVu Math TeX Gyre"/>
        </w:rPr>
        <w:t xml:space="preserve">. </w:t>
      </w:r>
      <w:r>
        <w:rPr>
          <w:rFonts w:eastAsiaTheme="minorEastAsia"/>
          <w:lang w:eastAsia="zh-CN"/>
        </w:rPr>
        <w:t xml:space="preserve">  </w:t>
      </w:r>
    </w:p>
    <w:p w:rsidR="00F7628A" w:rsidRDefault="009D24C3">
      <w:pPr>
        <w:rPr>
          <w:rFonts w:eastAsiaTheme="minorEastAsia"/>
          <w:lang w:eastAsia="zh-CN"/>
        </w:rPr>
      </w:pPr>
      <w:r>
        <w:rPr>
          <w:rFonts w:eastAsiaTheme="minorEastAsia"/>
          <w:lang w:eastAsia="zh-CN"/>
        </w:rPr>
        <w:t xml:space="preserve">The problem in having invalid code-point in the Type-1A field indication is the further clarification of the UE behavior. The code-point being invalid in the Type-1A field can have two consequences: </w:t>
      </w:r>
    </w:p>
    <w:p w:rsidR="00F7628A" w:rsidRDefault="009D24C3">
      <w:pPr>
        <w:numPr>
          <w:ilvl w:val="0"/>
          <w:numId w:val="4"/>
        </w:numPr>
        <w:tabs>
          <w:tab w:val="clear" w:pos="420"/>
          <w:tab w:val="left" w:pos="880"/>
        </w:tabs>
        <w:ind w:left="880"/>
        <w:rPr>
          <w:rFonts w:eastAsiaTheme="minorEastAsia"/>
          <w:lang w:eastAsia="zh-CN"/>
        </w:rPr>
      </w:pPr>
      <w:r>
        <w:rPr>
          <w:rFonts w:eastAsiaTheme="minorEastAsia"/>
          <w:lang w:eastAsia="zh-CN"/>
        </w:rPr>
        <w:t xml:space="preserve">Consequence #1: If the Type-1A field indicates an invalid value for </w:t>
      </w:r>
      <w:r>
        <w:rPr>
          <w:rFonts w:eastAsiaTheme="minorEastAsia"/>
          <w:i/>
          <w:iCs/>
          <w:lang w:eastAsia="zh-CN"/>
        </w:rPr>
        <w:t>i</w:t>
      </w:r>
      <w:r>
        <w:rPr>
          <w:rFonts w:eastAsiaTheme="minorEastAsia"/>
          <w:lang w:eastAsia="zh-CN"/>
        </w:rPr>
        <w:t xml:space="preserve">-th co-scheduled cell, the whole piece of scheduling information contained in DCI 0_3/1_3 for </w:t>
      </w:r>
      <w:r>
        <w:rPr>
          <w:rFonts w:eastAsiaTheme="minorEastAsia"/>
          <w:i/>
          <w:iCs/>
          <w:lang w:eastAsia="zh-CN"/>
        </w:rPr>
        <w:t>i</w:t>
      </w:r>
      <w:r>
        <w:rPr>
          <w:rFonts w:eastAsiaTheme="minorEastAsia"/>
          <w:lang w:eastAsia="zh-CN"/>
        </w:rPr>
        <w:t>-th co-scheduled cell is</w:t>
      </w:r>
      <w:bookmarkStart w:id="0" w:name="_GoBack"/>
      <w:bookmarkEnd w:id="0"/>
      <w:r>
        <w:rPr>
          <w:rFonts w:eastAsiaTheme="minorEastAsia"/>
          <w:lang w:eastAsia="zh-CN"/>
        </w:rPr>
        <w:t xml:space="preserve"> considered invalid. However, this creates another condition, other than invalid FDRA field, to identify the invalid scheduling, which generates more complexity to the existing specification logic. </w:t>
      </w:r>
    </w:p>
    <w:p w:rsidR="00F7628A" w:rsidRDefault="009D24C3">
      <w:pPr>
        <w:numPr>
          <w:ilvl w:val="0"/>
          <w:numId w:val="4"/>
        </w:numPr>
        <w:tabs>
          <w:tab w:val="clear" w:pos="420"/>
          <w:tab w:val="left" w:pos="880"/>
        </w:tabs>
        <w:ind w:left="880"/>
        <w:rPr>
          <w:rFonts w:eastAsiaTheme="minorEastAsia"/>
          <w:lang w:eastAsia="zh-CN"/>
        </w:rPr>
      </w:pPr>
      <w:r>
        <w:rPr>
          <w:rFonts w:eastAsiaTheme="minorEastAsia"/>
          <w:lang w:eastAsia="zh-CN"/>
        </w:rPr>
        <w:t xml:space="preserve">Consequence #2: If the Type-1A field indicates an invalid value for </w:t>
      </w:r>
      <w:r>
        <w:rPr>
          <w:rFonts w:eastAsiaTheme="minorEastAsia"/>
          <w:i/>
          <w:iCs/>
          <w:lang w:eastAsia="zh-CN"/>
        </w:rPr>
        <w:t>i</w:t>
      </w:r>
      <w:r>
        <w:rPr>
          <w:rFonts w:eastAsiaTheme="minorEastAsia"/>
          <w:lang w:eastAsia="zh-CN"/>
        </w:rPr>
        <w:t xml:space="preserve">-th co-scheduled cell, the whole piece of scheduling information contained in DCI 0_3/1_3 for </w:t>
      </w:r>
      <w:r>
        <w:rPr>
          <w:rFonts w:eastAsiaTheme="minorEastAsia"/>
          <w:i/>
          <w:iCs/>
          <w:lang w:eastAsia="zh-CN"/>
        </w:rPr>
        <w:t>i</w:t>
      </w:r>
      <w:r>
        <w:rPr>
          <w:rFonts w:eastAsiaTheme="minorEastAsia"/>
          <w:lang w:eastAsia="zh-CN"/>
        </w:rPr>
        <w:t xml:space="preserve">-th co-scheduled cell is considered valid, with the corresponding valid Type-1A information received most recently. However, this philosophy makes the DCI 0_3/1_3 reception to be somehow memorized, instead of memory-less. This is a big impact to DCI framework, and should not be made in maintenance phase. </w:t>
      </w:r>
    </w:p>
    <w:p w:rsidR="00F7628A" w:rsidRDefault="009D24C3">
      <w:pPr>
        <w:rPr>
          <w:rFonts w:eastAsiaTheme="minorEastAsia"/>
          <w:lang w:eastAsia="zh-CN"/>
        </w:rPr>
      </w:pPr>
      <w:r>
        <w:rPr>
          <w:rFonts w:eastAsiaTheme="minorEastAsia"/>
          <w:lang w:eastAsia="zh-CN"/>
        </w:rPr>
        <w:t xml:space="preserve">Therefore, it is in our view that RAN1 should not further consider Option-2 and Option-3. For Option-1, we prefer the modulo-based method (Example 1-1) given it does not require further RAN1 discussions on a “default” reference and does not require </w:t>
      </w:r>
      <w:r>
        <w:rPr>
          <w:rFonts w:hAnsi="DejaVu Math TeX Gyre"/>
          <w:i/>
          <w:iCs/>
        </w:rPr>
        <w:t>M</w:t>
      </w:r>
      <w:r>
        <w:rPr>
          <w:rFonts w:hAnsi="DejaVu Math TeX Gyre"/>
          <w:i/>
          <w:iCs/>
          <w:vertAlign w:val="subscript"/>
        </w:rPr>
        <w:t>i</w:t>
      </w:r>
      <w:r>
        <w:rPr>
          <w:rFonts w:hAnsi="DejaVu Math TeX Gyre"/>
        </w:rPr>
        <w:t xml:space="preserve"> to be in form of </w:t>
      </w:r>
      <w:r>
        <w:rPr>
          <w:rFonts w:hAnsi="DejaVu Math TeX Gyre"/>
          <w:i/>
          <w:iCs/>
        </w:rPr>
        <w:t>2</w:t>
      </w:r>
      <w:r>
        <w:rPr>
          <w:rFonts w:hAnsi="DejaVu Math TeX Gyre"/>
          <w:i/>
          <w:iCs/>
          <w:vertAlign w:val="superscript"/>
        </w:rPr>
        <w:t>k</w:t>
      </w:r>
      <w:r>
        <w:rPr>
          <w:rFonts w:hAnsi="DejaVu Math TeX Gyre"/>
          <w:i/>
          <w:iCs/>
        </w:rPr>
        <w:t>.</w:t>
      </w:r>
    </w:p>
    <w:p w:rsidR="00F7628A" w:rsidRDefault="005F4600">
      <w:pPr>
        <w:rPr>
          <w:rFonts w:eastAsiaTheme="minorEastAsia"/>
          <w:b/>
          <w:i/>
          <w:lang w:eastAsia="zh-CN"/>
        </w:rPr>
      </w:pPr>
      <w:r>
        <w:rPr>
          <w:rFonts w:eastAsiaTheme="minorEastAsia" w:hint="eastAsia"/>
          <w:b/>
          <w:i/>
          <w:lang w:eastAsia="zh-CN"/>
        </w:rPr>
        <w:t>P</w:t>
      </w:r>
      <w:r>
        <w:rPr>
          <w:rFonts w:eastAsiaTheme="minorEastAsia"/>
          <w:b/>
          <w:i/>
          <w:lang w:eastAsia="zh-CN"/>
        </w:rPr>
        <w:t>roposal 1: For a Type-1A field indicating a value m, the reference to an actual indicated value is determined as (m mod M</w:t>
      </w:r>
      <w:r>
        <w:rPr>
          <w:rFonts w:eastAsiaTheme="minorEastAsia"/>
          <w:b/>
          <w:i/>
          <w:vertAlign w:val="subscript"/>
          <w:lang w:eastAsia="zh-CN"/>
        </w:rPr>
        <w:t>i</w:t>
      </w:r>
      <w:r>
        <w:rPr>
          <w:rFonts w:eastAsiaTheme="minorEastAsia"/>
          <w:b/>
          <w:i/>
          <w:lang w:eastAsia="zh-CN"/>
        </w:rPr>
        <w:t>), where M</w:t>
      </w:r>
      <w:r>
        <w:rPr>
          <w:rFonts w:eastAsiaTheme="minorEastAsia"/>
          <w:b/>
          <w:i/>
          <w:vertAlign w:val="subscript"/>
          <w:lang w:eastAsia="zh-CN"/>
        </w:rPr>
        <w:t>i</w:t>
      </w:r>
      <w:r>
        <w:rPr>
          <w:rFonts w:eastAsiaTheme="minorEastAsia"/>
          <w:b/>
          <w:i/>
          <w:lang w:eastAsia="zh-CN"/>
        </w:rPr>
        <w:t xml:space="preserve"> is the number of indicated values that the i-th co-scheduled cell needs from the Type-1A field.</w:t>
      </w:r>
    </w:p>
    <w:p w:rsidR="00F7628A" w:rsidRDefault="009D24C3">
      <w:pPr>
        <w:pStyle w:val="Heading2"/>
        <w:rPr>
          <w:lang w:eastAsia="zh-CN"/>
        </w:rPr>
      </w:pPr>
      <w:r>
        <w:rPr>
          <w:lang w:eastAsia="zh-CN"/>
        </w:rPr>
        <w:t xml:space="preserve">SCell </w:t>
      </w:r>
      <w:r>
        <w:rPr>
          <w:rFonts w:eastAsia="等线"/>
          <w:lang w:eastAsia="zh-CN"/>
        </w:rPr>
        <w:t>dormancy</w:t>
      </w:r>
      <w:r>
        <w:rPr>
          <w:rFonts w:hint="eastAsia"/>
          <w:lang w:eastAsia="zh-CN"/>
        </w:rPr>
        <w:t>/</w:t>
      </w:r>
      <w:r>
        <w:rPr>
          <w:lang w:eastAsia="zh-CN"/>
        </w:rPr>
        <w:t>de-activated</w:t>
      </w:r>
    </w:p>
    <w:p w:rsidR="00F7628A" w:rsidRDefault="009D24C3">
      <w:pPr>
        <w:rPr>
          <w:rFonts w:eastAsiaTheme="minorEastAsia"/>
          <w:lang w:eastAsia="zh-CN"/>
        </w:rPr>
      </w:pPr>
      <w:r>
        <w:rPr>
          <w:rFonts w:eastAsiaTheme="minorEastAsia"/>
          <w:lang w:eastAsia="zh-CN"/>
        </w:rPr>
        <w:t>SCell dormancy indication Case 2 for DCI format 1_3 is agreed in RAN1 #114bis meeting. The following TP could be considered. Only Type-2 field for the cell with invalid FDRA can be reused for dormancy indication. The total bit size</w:t>
      </w:r>
      <w:r w:rsidR="00447159">
        <w:rPr>
          <w:rFonts w:eastAsiaTheme="minorEastAsia"/>
          <w:lang w:eastAsia="zh-CN"/>
        </w:rPr>
        <w:t xml:space="preserve"> </w:t>
      </w:r>
      <w:r>
        <w:rPr>
          <w:rFonts w:eastAsiaTheme="minorEastAsia"/>
          <w:lang w:eastAsia="zh-CN"/>
        </w:rPr>
        <w:t>(N) of the reused field may be smaller than the total number of configured SCells. The cells which could be indicated to dormancy with indication Case 2 are the cells with smallest N cell-ID. If the cells other than the cells with smallest N cell-ID need to be indicated to dormancy, legacy DCI format can be used.</w:t>
      </w:r>
    </w:p>
    <w:tbl>
      <w:tblPr>
        <w:tblStyle w:val="TableGrid"/>
        <w:tblW w:w="0" w:type="auto"/>
        <w:tblLook w:val="04A0"/>
      </w:tblPr>
      <w:tblGrid>
        <w:gridCol w:w="9736"/>
      </w:tblGrid>
      <w:tr w:rsidR="00F7628A">
        <w:tc>
          <w:tcPr>
            <w:tcW w:w="9736" w:type="dxa"/>
          </w:tcPr>
          <w:p w:rsidR="00F7628A" w:rsidRDefault="009D24C3">
            <w:pPr>
              <w:spacing w:after="0" w:line="240" w:lineRule="auto"/>
              <w:jc w:val="left"/>
              <w:rPr>
                <w:sz w:val="20"/>
                <w:szCs w:val="20"/>
                <w:lang w:eastAsia="zh-CN"/>
              </w:rPr>
            </w:pPr>
            <w:r>
              <w:rPr>
                <w:sz w:val="20"/>
                <w:szCs w:val="20"/>
                <w:lang w:eastAsia="zh-CN"/>
              </w:rPr>
              <w:t>7.3.1.2.4</w:t>
            </w:r>
            <w:r>
              <w:rPr>
                <w:sz w:val="20"/>
                <w:szCs w:val="20"/>
                <w:lang w:eastAsia="zh-CN"/>
              </w:rPr>
              <w:tab/>
              <w:t>Format 1_3</w:t>
            </w:r>
          </w:p>
          <w:p w:rsidR="00F7628A" w:rsidRDefault="009D24C3">
            <w:pPr>
              <w:pStyle w:val="B1"/>
              <w:spacing w:after="0"/>
            </w:pPr>
            <w:r>
              <w:t>-</w:t>
            </w:r>
            <w:r>
              <w:rPr>
                <w:lang w:eastAsia="zh-CN"/>
              </w:rPr>
              <w:tab/>
              <w:t>SCell dormancy indication</w:t>
            </w:r>
            <w:r>
              <w:t xml:space="preserve"> - 0 bit if higher layer parameter </w:t>
            </w:r>
            <w:r>
              <w:rPr>
                <w:i/>
                <w:lang w:val="en-US"/>
              </w:rPr>
              <w:t xml:space="preserve">dormancyDCI-1-3 </w:t>
            </w:r>
            <w:r>
              <w:rPr>
                <w:lang w:val="en-US"/>
              </w:rPr>
              <w:t xml:space="preserve">or </w:t>
            </w:r>
            <w:r>
              <w:rPr>
                <w:i/>
                <w:iCs/>
                <w:lang w:val="en-US"/>
              </w:rPr>
              <w:t>dormancyGroupWithinActiveTime</w:t>
            </w:r>
            <w:r>
              <w:rPr>
                <w:lang w:val="en-US"/>
              </w:rPr>
              <w:t xml:space="preserve"> </w:t>
            </w:r>
            <w:r>
              <w:t>is not configured; otherwise 1, 2, 3, 4, or 5</w:t>
            </w:r>
            <w:r>
              <w:rPr>
                <w:lang w:eastAsia="zh-CN"/>
              </w:rPr>
              <w:t xml:space="preserve"> bits</w:t>
            </w:r>
            <w:r>
              <w:t xml:space="preserve"> </w:t>
            </w:r>
            <w:r>
              <w:rPr>
                <w:lang w:val="en-US"/>
              </w:rPr>
              <w:t xml:space="preserve">bitmap </w:t>
            </w:r>
            <w:r>
              <w:rPr>
                <w:lang w:val="nb-NO"/>
              </w:rPr>
              <w:t xml:space="preserve">determined according to the number of different </w:t>
            </w:r>
            <w:r>
              <w:rPr>
                <w:i/>
                <w:lang w:val="nb-NO"/>
              </w:rPr>
              <w:t>DormancyGroupID(s)</w:t>
            </w:r>
            <w:r>
              <w:rPr>
                <w:lang w:val="nb-NO"/>
              </w:rPr>
              <w:t xml:space="preserve"> provided by higher layer parameter </w:t>
            </w:r>
            <w:r>
              <w:rPr>
                <w:i/>
                <w:lang w:val="en-US"/>
              </w:rPr>
              <w:t>dormancyGroupWithinActiveTime</w:t>
            </w:r>
            <w:r>
              <w:rPr>
                <w:i/>
                <w:lang w:val="nb-NO"/>
              </w:rPr>
              <w:t xml:space="preserve">, </w:t>
            </w:r>
            <w:r>
              <w:rPr>
                <w:lang w:val="nb-NO"/>
              </w:rPr>
              <w:t xml:space="preserve">where each bit corresponds to one of the SCell group(s) configured by higher layers parameter </w:t>
            </w:r>
            <w:r>
              <w:rPr>
                <w:i/>
                <w:lang w:val="en-US"/>
              </w:rPr>
              <w:t>dormancyGroupWithinActiveTime</w:t>
            </w:r>
            <w:r>
              <w:rPr>
                <w:i/>
                <w:lang w:val="nb-NO"/>
              </w:rPr>
              <w:t>,</w:t>
            </w:r>
            <w:r>
              <w:rPr>
                <w:lang w:val="nb-NO"/>
              </w:rPr>
              <w:t xml:space="preserve"> with MSB to LSB of the bitmap corresponding to the first to the last configured SCell group</w:t>
            </w:r>
            <w:r>
              <w:rPr>
                <w:lang w:val="en-US"/>
              </w:rPr>
              <w:t xml:space="preserve"> in ascending order of </w:t>
            </w:r>
            <w:r>
              <w:rPr>
                <w:i/>
                <w:iCs/>
                <w:lang w:val="en-US"/>
              </w:rPr>
              <w:t>DormancyGroupID</w:t>
            </w:r>
            <w:r>
              <w:rPr>
                <w:lang w:val="nb-NO"/>
              </w:rPr>
              <w:t xml:space="preserve">. </w:t>
            </w:r>
            <w:r>
              <w:rPr>
                <w:lang w:val="en-US"/>
              </w:rPr>
              <w:t xml:space="preserve">The field is only present </w:t>
            </w:r>
            <w:r>
              <w:rPr>
                <w:lang w:val="en-US"/>
              </w:rPr>
              <w:lastRenderedPageBreak/>
              <w:t>when this format is carried by PDCCH on the primary cell within DRX Active Time and the UE is configured with at least two DL BWPs for an SCell</w:t>
            </w:r>
            <w:r>
              <w:t>.</w:t>
            </w:r>
          </w:p>
          <w:p w:rsidR="00F7628A" w:rsidRDefault="009D24C3">
            <w:pPr>
              <w:pStyle w:val="B1"/>
              <w:spacing w:after="0"/>
              <w:ind w:firstLine="0"/>
              <w:rPr>
                <w:color w:val="FF0000"/>
                <w:u w:val="single"/>
                <w:lang w:eastAsia="zh-CN"/>
              </w:rPr>
            </w:pPr>
            <w:r>
              <w:rPr>
                <w:color w:val="FF0000"/>
                <w:u w:val="single"/>
              </w:rPr>
              <w:t>If one-shot HARQ-ACK request is not present or set to '0' and if HARQ-ACK retransmission indicator is not present or set to ‘0’, SCell dormancy indication can be provided by a DCI format 1_3 on PCell by repurposing below fields corresponding to a cell with smallest cell index with invalid FDRA values;</w:t>
            </w:r>
            <w:r>
              <w:rPr>
                <w:color w:val="FF0000"/>
                <w:u w:val="single"/>
                <w:lang w:eastAsia="zh-CN"/>
              </w:rPr>
              <w:t xml:space="preserve"> </w:t>
            </w:r>
          </w:p>
          <w:p w:rsidR="00F7628A" w:rsidRDefault="009D24C3">
            <w:pPr>
              <w:pStyle w:val="B1"/>
              <w:spacing w:after="0"/>
              <w:ind w:firstLine="0"/>
              <w:rPr>
                <w:color w:val="FF0000"/>
                <w:u w:val="single"/>
                <w:lang w:eastAsia="zh-CN"/>
              </w:rPr>
            </w:pPr>
            <w:r>
              <w:rPr>
                <w:color w:val="FF0000"/>
                <w:u w:val="single"/>
                <w:lang w:eastAsia="zh-CN"/>
              </w:rPr>
              <w:t>-</w:t>
            </w:r>
            <w:r>
              <w:rPr>
                <w:color w:val="FF0000"/>
                <w:u w:val="single"/>
                <w:lang w:eastAsia="zh-CN"/>
              </w:rPr>
              <w:tab/>
              <w:t xml:space="preserve">Modulation and coding scheme of transport block 1 </w:t>
            </w:r>
          </w:p>
          <w:p w:rsidR="00F7628A" w:rsidRDefault="009D24C3">
            <w:pPr>
              <w:pStyle w:val="B2"/>
              <w:spacing w:after="0"/>
              <w:rPr>
                <w:color w:val="FF0000"/>
                <w:u w:val="single"/>
                <w:lang w:eastAsia="zh-CN"/>
              </w:rPr>
            </w:pPr>
            <w:r>
              <w:rPr>
                <w:color w:val="FF0000"/>
                <w:u w:val="single"/>
                <w:lang w:eastAsia="zh-CN"/>
              </w:rPr>
              <w:t>-</w:t>
            </w:r>
            <w:r>
              <w:rPr>
                <w:color w:val="FF0000"/>
                <w:u w:val="single"/>
                <w:lang w:eastAsia="zh-CN"/>
              </w:rPr>
              <w:tab/>
              <w:t xml:space="preserve">New data indicator of transport block 1 </w:t>
            </w:r>
          </w:p>
          <w:p w:rsidR="00F7628A" w:rsidRDefault="009D24C3">
            <w:pPr>
              <w:pStyle w:val="B2"/>
              <w:spacing w:after="0"/>
              <w:rPr>
                <w:color w:val="FF0000"/>
                <w:u w:val="single"/>
                <w:lang w:eastAsia="zh-CN"/>
              </w:rPr>
            </w:pPr>
            <w:r>
              <w:rPr>
                <w:color w:val="FF0000"/>
                <w:u w:val="single"/>
                <w:lang w:eastAsia="zh-CN"/>
              </w:rPr>
              <w:t>-</w:t>
            </w:r>
            <w:r>
              <w:rPr>
                <w:color w:val="FF0000"/>
                <w:u w:val="single"/>
                <w:lang w:eastAsia="zh-CN"/>
              </w:rPr>
              <w:tab/>
              <w:t xml:space="preserve">Redundancy version of transport block 1 </w:t>
            </w:r>
          </w:p>
          <w:p w:rsidR="00F7628A" w:rsidRPr="00B0025C" w:rsidRDefault="009D24C3" w:rsidP="00B0025C">
            <w:pPr>
              <w:pStyle w:val="B2"/>
              <w:spacing w:after="0"/>
              <w:rPr>
                <w:color w:val="FF0000"/>
                <w:u w:val="single"/>
                <w:lang w:eastAsia="zh-CN"/>
              </w:rPr>
            </w:pPr>
            <w:r>
              <w:rPr>
                <w:color w:val="FF0000"/>
                <w:u w:val="single"/>
                <w:lang w:eastAsia="zh-CN"/>
              </w:rPr>
              <w:t>-</w:t>
            </w:r>
            <w:r>
              <w:rPr>
                <w:color w:val="FF0000"/>
                <w:u w:val="single"/>
                <w:lang w:eastAsia="zh-CN"/>
              </w:rPr>
              <w:tab/>
              <w:t xml:space="preserve">HARQ process number </w:t>
            </w:r>
          </w:p>
        </w:tc>
      </w:tr>
    </w:tbl>
    <w:p w:rsidR="00F7628A" w:rsidRDefault="009D24C3">
      <w:pPr>
        <w:rPr>
          <w:rFonts w:eastAsiaTheme="minorEastAsia"/>
          <w:b/>
          <w:i/>
          <w:lang w:eastAsia="zh-CN"/>
        </w:rPr>
      </w:pPr>
      <w:r>
        <w:rPr>
          <w:rFonts w:eastAsiaTheme="minorEastAsia" w:hint="eastAsia"/>
          <w:b/>
          <w:i/>
          <w:lang w:eastAsia="zh-CN"/>
        </w:rPr>
        <w:lastRenderedPageBreak/>
        <w:t>P</w:t>
      </w:r>
      <w:r>
        <w:rPr>
          <w:rFonts w:eastAsiaTheme="minorEastAsia"/>
          <w:b/>
          <w:i/>
          <w:lang w:eastAsia="zh-CN"/>
        </w:rPr>
        <w:t>roposal 2: The TP for SCell dormancy indication should be included.</w:t>
      </w:r>
    </w:p>
    <w:p w:rsidR="00F7628A" w:rsidRDefault="00F7628A">
      <w:pPr>
        <w:rPr>
          <w:rFonts w:eastAsiaTheme="minorEastAsia"/>
          <w:b/>
          <w:i/>
          <w:lang w:eastAsia="zh-CN"/>
        </w:rPr>
      </w:pPr>
    </w:p>
    <w:p w:rsidR="00F7628A" w:rsidRDefault="009D24C3">
      <w:pPr>
        <w:pStyle w:val="Heading2"/>
        <w:rPr>
          <w:lang w:eastAsia="zh-CN"/>
        </w:rPr>
      </w:pPr>
      <w:r>
        <w:rPr>
          <w:lang w:eastAsia="zh-CN"/>
        </w:rPr>
        <w:t>Coverage enhancement with MCE</w:t>
      </w:r>
    </w:p>
    <w:p w:rsidR="00F7628A" w:rsidRDefault="009D24C3">
      <w:pPr>
        <w:rPr>
          <w:rFonts w:eastAsiaTheme="minorEastAsia"/>
          <w:lang w:eastAsia="zh-CN"/>
        </w:rPr>
      </w:pPr>
      <w:r>
        <w:rPr>
          <w:rFonts w:eastAsiaTheme="minorEastAsia" w:hint="eastAsia"/>
          <w:lang w:eastAsia="zh-CN"/>
        </w:rPr>
        <w:t>I</w:t>
      </w:r>
      <w:r>
        <w:rPr>
          <w:rFonts w:eastAsiaTheme="minorEastAsia"/>
          <w:lang w:eastAsia="zh-CN"/>
        </w:rPr>
        <w:t>n RAN1 #114bis meeting, the following proposal was discussed.</w:t>
      </w:r>
    </w:p>
    <w:tbl>
      <w:tblPr>
        <w:tblStyle w:val="TableGrid"/>
        <w:tblW w:w="0" w:type="auto"/>
        <w:tblLook w:val="04A0"/>
      </w:tblPr>
      <w:tblGrid>
        <w:gridCol w:w="9736"/>
      </w:tblGrid>
      <w:tr w:rsidR="00F7628A">
        <w:tc>
          <w:tcPr>
            <w:tcW w:w="9736" w:type="dxa"/>
          </w:tcPr>
          <w:p w:rsidR="00F7628A" w:rsidRDefault="009D24C3">
            <w:pPr>
              <w:pStyle w:val="Heading4"/>
              <w:spacing w:before="0" w:after="40" w:line="240" w:lineRule="auto"/>
              <w:ind w:left="0" w:firstLine="0"/>
              <w:rPr>
                <w:rFonts w:ascii="Times New Roman" w:eastAsia="SimSun" w:hAnsi="Times New Roman" w:cs="Times New Roman"/>
                <w:color w:val="000000" w:themeColor="text1"/>
                <w:sz w:val="22"/>
                <w:szCs w:val="22"/>
                <w:lang w:eastAsia="zh-CN"/>
              </w:rPr>
            </w:pPr>
            <w:r>
              <w:rPr>
                <w:rFonts w:ascii="Times New Roman" w:eastAsia="SimSun" w:hAnsi="Times New Roman" w:cs="Times New Roman"/>
                <w:color w:val="000000" w:themeColor="text1"/>
                <w:sz w:val="22"/>
                <w:szCs w:val="22"/>
                <w:lang w:eastAsia="zh-CN"/>
              </w:rPr>
              <w:t>Proposal 1-1rev1(combined with Proposal 1-4):</w:t>
            </w:r>
          </w:p>
          <w:p w:rsidR="00F7628A" w:rsidRDefault="009D24C3">
            <w:pPr>
              <w:numPr>
                <w:ilvl w:val="0"/>
                <w:numId w:val="6"/>
              </w:numPr>
              <w:overflowPunct w:val="0"/>
              <w:snapToGrid w:val="0"/>
              <w:spacing w:after="40" w:line="240" w:lineRule="auto"/>
              <w:ind w:firstLine="0"/>
              <w:jc w:val="left"/>
              <w:rPr>
                <w:rFonts w:eastAsiaTheme="minorEastAsia"/>
                <w:lang w:eastAsia="zh-CN"/>
              </w:rPr>
            </w:pPr>
            <w:r>
              <w:rPr>
                <w:rFonts w:eastAsiaTheme="minorEastAsia"/>
                <w:bCs/>
                <w:szCs w:val="22"/>
                <w:lang w:eastAsia="zh-CN"/>
              </w:rPr>
              <w:t>Not support the combination of DCI format 0_3 and Rel-17/18 PUSCH coverage enhancements (DWS, TBoMS, Available Slot counting, DM-RS bundling).</w:t>
            </w:r>
          </w:p>
        </w:tc>
      </w:tr>
    </w:tbl>
    <w:p w:rsidR="00F7628A" w:rsidRDefault="009D24C3">
      <w:pPr>
        <w:rPr>
          <w:rFonts w:eastAsiaTheme="minorEastAsia"/>
          <w:lang w:eastAsia="zh-CN"/>
        </w:rPr>
      </w:pPr>
      <w:r>
        <w:rPr>
          <w:rFonts w:eastAsiaTheme="minorEastAsia"/>
          <w:lang w:eastAsia="zh-CN"/>
        </w:rPr>
        <w:t>The purpose for MC-enh is to reduce the overall overhead of PDCCH from cell-wise perspective. But from perspective of one single DCI 0_3, its payload size can be much larger than that of DCI 0_0/0_1/0_2, which may impact the coverage of DCI 0_3. Further, DCI 0_3 was designed without taking coverage as one of optimization targets. Instead, the co-scheduled cell could also be configured with scheduling by legacy DCI format, to which the coverage enhancement techniques can apply. Therefore, it is not necessary to combine coverage enhancement into DCI format 0_3.</w:t>
      </w:r>
    </w:p>
    <w:p w:rsidR="00F7628A" w:rsidRDefault="009D24C3">
      <w:pPr>
        <w:rPr>
          <w:rFonts w:eastAsiaTheme="minorEastAsia"/>
          <w:b/>
          <w:i/>
          <w:lang w:eastAsia="zh-CN"/>
        </w:rPr>
      </w:pPr>
      <w:r>
        <w:rPr>
          <w:rFonts w:eastAsiaTheme="minorEastAsia" w:hint="eastAsia"/>
          <w:b/>
          <w:i/>
          <w:lang w:eastAsia="zh-CN"/>
        </w:rPr>
        <w:t>P</w:t>
      </w:r>
      <w:r>
        <w:rPr>
          <w:rFonts w:eastAsiaTheme="minorEastAsia"/>
          <w:b/>
          <w:i/>
          <w:lang w:eastAsia="zh-CN"/>
        </w:rPr>
        <w:t>roposal 3: Do not support in Rel-18 the combination of DCI format 0_3 and Rel-17/18 PUSCH coverage enhancements (DWS, TBoMS, Available Slot counting, DM-RS bundling).</w:t>
      </w:r>
    </w:p>
    <w:p w:rsidR="00F7628A" w:rsidRDefault="009D24C3">
      <w:pPr>
        <w:pStyle w:val="Heading1"/>
        <w:rPr>
          <w:lang w:eastAsia="zh-CN"/>
        </w:rPr>
      </w:pPr>
      <w:r>
        <w:rPr>
          <w:lang w:eastAsia="zh-CN"/>
        </w:rPr>
        <w:t>C</w:t>
      </w:r>
      <w:r>
        <w:rPr>
          <w:rFonts w:hint="eastAsia"/>
          <w:lang w:eastAsia="zh-CN"/>
        </w:rPr>
        <w:t>on</w:t>
      </w:r>
      <w:r>
        <w:rPr>
          <w:lang w:eastAsia="zh-CN"/>
        </w:rPr>
        <w:t>clusion</w:t>
      </w:r>
    </w:p>
    <w:p w:rsidR="00F7628A" w:rsidRDefault="00573460">
      <w:pPr>
        <w:rPr>
          <w:rFonts w:eastAsiaTheme="minorEastAsia"/>
          <w:b/>
          <w:i/>
          <w:lang w:eastAsia="zh-CN"/>
        </w:rPr>
      </w:pPr>
      <w:r>
        <w:rPr>
          <w:rFonts w:eastAsiaTheme="minorEastAsia" w:hint="eastAsia"/>
          <w:b/>
          <w:i/>
          <w:lang w:eastAsia="zh-CN"/>
        </w:rPr>
        <w:t>P</w:t>
      </w:r>
      <w:r>
        <w:rPr>
          <w:rFonts w:eastAsiaTheme="minorEastAsia"/>
          <w:b/>
          <w:i/>
          <w:lang w:eastAsia="zh-CN"/>
        </w:rPr>
        <w:t>roposal 1: For a Type-1A field indicating a value m, the reference to an actual indicated value is determined as (m mod M</w:t>
      </w:r>
      <w:r>
        <w:rPr>
          <w:rFonts w:eastAsiaTheme="minorEastAsia"/>
          <w:b/>
          <w:i/>
          <w:vertAlign w:val="subscript"/>
          <w:lang w:eastAsia="zh-CN"/>
        </w:rPr>
        <w:t>i</w:t>
      </w:r>
      <w:r>
        <w:rPr>
          <w:rFonts w:eastAsiaTheme="minorEastAsia"/>
          <w:b/>
          <w:i/>
          <w:lang w:eastAsia="zh-CN"/>
        </w:rPr>
        <w:t>), where M</w:t>
      </w:r>
      <w:r>
        <w:rPr>
          <w:rFonts w:eastAsiaTheme="minorEastAsia"/>
          <w:b/>
          <w:i/>
          <w:vertAlign w:val="subscript"/>
          <w:lang w:eastAsia="zh-CN"/>
        </w:rPr>
        <w:t>i</w:t>
      </w:r>
      <w:r>
        <w:rPr>
          <w:rFonts w:eastAsiaTheme="minorEastAsia"/>
          <w:b/>
          <w:i/>
          <w:lang w:eastAsia="zh-CN"/>
        </w:rPr>
        <w:t xml:space="preserve"> is the number of indicated values that the i-th co-scheduled cell needs from the Type-1A field.</w:t>
      </w:r>
      <w:r w:rsidR="009D24C3">
        <w:rPr>
          <w:rFonts w:eastAsiaTheme="minorEastAsia"/>
          <w:b/>
          <w:i/>
          <w:lang w:eastAsia="zh-CN"/>
        </w:rPr>
        <w:t xml:space="preserve"> </w:t>
      </w:r>
    </w:p>
    <w:p w:rsidR="00F7628A" w:rsidRDefault="009D24C3">
      <w:pPr>
        <w:rPr>
          <w:rFonts w:eastAsiaTheme="minorEastAsia"/>
          <w:b/>
          <w:i/>
          <w:lang w:eastAsia="zh-CN"/>
        </w:rPr>
      </w:pPr>
      <w:r>
        <w:rPr>
          <w:rFonts w:eastAsiaTheme="minorEastAsia" w:hint="eastAsia"/>
          <w:b/>
          <w:i/>
          <w:lang w:eastAsia="zh-CN"/>
        </w:rPr>
        <w:t>P</w:t>
      </w:r>
      <w:r>
        <w:rPr>
          <w:rFonts w:eastAsiaTheme="minorEastAsia"/>
          <w:b/>
          <w:i/>
          <w:lang w:eastAsia="zh-CN"/>
        </w:rPr>
        <w:t>roposal 2: The following TP for SCell dormancy indication should be included.</w:t>
      </w:r>
    </w:p>
    <w:tbl>
      <w:tblPr>
        <w:tblStyle w:val="TableGrid"/>
        <w:tblW w:w="0" w:type="auto"/>
        <w:tblLook w:val="04A0"/>
      </w:tblPr>
      <w:tblGrid>
        <w:gridCol w:w="9736"/>
      </w:tblGrid>
      <w:tr w:rsidR="00F7628A">
        <w:tc>
          <w:tcPr>
            <w:tcW w:w="9736" w:type="dxa"/>
          </w:tcPr>
          <w:p w:rsidR="00F7628A" w:rsidRDefault="009D24C3">
            <w:pPr>
              <w:spacing w:after="0" w:line="240" w:lineRule="auto"/>
              <w:rPr>
                <w:sz w:val="20"/>
                <w:szCs w:val="20"/>
                <w:lang w:eastAsia="zh-CN"/>
              </w:rPr>
            </w:pPr>
            <w:r>
              <w:rPr>
                <w:sz w:val="20"/>
                <w:szCs w:val="20"/>
                <w:lang w:eastAsia="zh-CN"/>
              </w:rPr>
              <w:t>7.3.1.2.4</w:t>
            </w:r>
            <w:r>
              <w:rPr>
                <w:sz w:val="20"/>
                <w:szCs w:val="20"/>
                <w:lang w:eastAsia="zh-CN"/>
              </w:rPr>
              <w:tab/>
              <w:t>Format 1_3</w:t>
            </w:r>
          </w:p>
          <w:p w:rsidR="00F7628A" w:rsidRDefault="009D24C3">
            <w:pPr>
              <w:pStyle w:val="B1"/>
              <w:spacing w:after="0"/>
            </w:pPr>
            <w:r>
              <w:t>-</w:t>
            </w:r>
            <w:r>
              <w:rPr>
                <w:lang w:eastAsia="zh-CN"/>
              </w:rPr>
              <w:tab/>
              <w:t>SCell dormancy indication</w:t>
            </w:r>
            <w:r>
              <w:t xml:space="preserve"> - 0 bit if higher layer parameter </w:t>
            </w:r>
            <w:r>
              <w:rPr>
                <w:i/>
                <w:lang w:val="en-US"/>
              </w:rPr>
              <w:t xml:space="preserve">dormancyDCI-1-3 </w:t>
            </w:r>
            <w:r>
              <w:rPr>
                <w:lang w:val="en-US"/>
              </w:rPr>
              <w:t xml:space="preserve">or </w:t>
            </w:r>
            <w:r>
              <w:rPr>
                <w:i/>
                <w:iCs/>
                <w:lang w:val="en-US"/>
              </w:rPr>
              <w:t>dormancyGroupWithinActiveTime</w:t>
            </w:r>
            <w:r>
              <w:rPr>
                <w:lang w:val="en-US"/>
              </w:rPr>
              <w:t xml:space="preserve"> </w:t>
            </w:r>
            <w:r>
              <w:t>is not configured; otherwise 1, 2, 3, 4, or 5</w:t>
            </w:r>
            <w:r>
              <w:rPr>
                <w:lang w:eastAsia="zh-CN"/>
              </w:rPr>
              <w:t xml:space="preserve"> bits</w:t>
            </w:r>
            <w:r>
              <w:t xml:space="preserve"> </w:t>
            </w:r>
            <w:r>
              <w:rPr>
                <w:lang w:val="en-US"/>
              </w:rPr>
              <w:t xml:space="preserve">bitmap </w:t>
            </w:r>
            <w:r>
              <w:rPr>
                <w:lang w:val="nb-NO"/>
              </w:rPr>
              <w:t xml:space="preserve">determined according to the number of different </w:t>
            </w:r>
            <w:r>
              <w:rPr>
                <w:i/>
                <w:lang w:val="nb-NO"/>
              </w:rPr>
              <w:t>DormancyGroupID(s)</w:t>
            </w:r>
            <w:r>
              <w:rPr>
                <w:lang w:val="nb-NO"/>
              </w:rPr>
              <w:t xml:space="preserve"> provided by higher layer parameter </w:t>
            </w:r>
            <w:r>
              <w:rPr>
                <w:i/>
                <w:lang w:val="en-US"/>
              </w:rPr>
              <w:t>dormancyGroupWithinActiveTime</w:t>
            </w:r>
            <w:r>
              <w:rPr>
                <w:i/>
                <w:lang w:val="nb-NO"/>
              </w:rPr>
              <w:t xml:space="preserve">, </w:t>
            </w:r>
            <w:r>
              <w:rPr>
                <w:lang w:val="nb-NO"/>
              </w:rPr>
              <w:t xml:space="preserve">where each bit corresponds to one of the SCell group(s) configured by higher layers parameter </w:t>
            </w:r>
            <w:r>
              <w:rPr>
                <w:i/>
                <w:lang w:val="en-US"/>
              </w:rPr>
              <w:t>dormancyGroupWithinActiveTime</w:t>
            </w:r>
            <w:r>
              <w:rPr>
                <w:i/>
                <w:lang w:val="nb-NO"/>
              </w:rPr>
              <w:t>,</w:t>
            </w:r>
            <w:r>
              <w:rPr>
                <w:lang w:val="nb-NO"/>
              </w:rPr>
              <w:t xml:space="preserve"> with MSB to LSB of the bitmap corresponding to the first to the last configured SCell group</w:t>
            </w:r>
            <w:r>
              <w:rPr>
                <w:lang w:val="en-US"/>
              </w:rPr>
              <w:t xml:space="preserve"> in ascending order of </w:t>
            </w:r>
            <w:r>
              <w:rPr>
                <w:i/>
                <w:iCs/>
                <w:lang w:val="en-US"/>
              </w:rPr>
              <w:t>DormancyGroupID</w:t>
            </w:r>
            <w:r>
              <w:rPr>
                <w:lang w:val="nb-NO"/>
              </w:rPr>
              <w:t xml:space="preserve">. </w:t>
            </w:r>
            <w:r>
              <w:rPr>
                <w:lang w:val="en-US"/>
              </w:rPr>
              <w:t xml:space="preserve">The field is only present when this format is carried by PDCCH on the primary cell within DRX Active Time and the UE is configured </w:t>
            </w:r>
            <w:r>
              <w:rPr>
                <w:lang w:val="en-US"/>
              </w:rPr>
              <w:lastRenderedPageBreak/>
              <w:t>with at least two DL BWPs for an SCell</w:t>
            </w:r>
            <w:r>
              <w:t>.</w:t>
            </w:r>
          </w:p>
          <w:p w:rsidR="00F7628A" w:rsidRDefault="009D24C3">
            <w:pPr>
              <w:pStyle w:val="B1"/>
              <w:spacing w:after="0"/>
              <w:ind w:firstLine="0"/>
              <w:rPr>
                <w:color w:val="FF0000"/>
                <w:u w:val="single"/>
              </w:rPr>
            </w:pPr>
            <w:r>
              <w:rPr>
                <w:color w:val="FF0000"/>
                <w:u w:val="single"/>
              </w:rPr>
              <w:t xml:space="preserve">If one-shot HARQ-ACK request is not present or set to '0' and if HARQ-ACK retransmission indicator is not present or set to ‘0’, SCell dormancy indication can be provided by a DCI format 1_3 on PCell by </w:t>
            </w:r>
            <w:r>
              <w:rPr>
                <w:color w:val="FF0000"/>
                <w:u w:val="single"/>
                <w:lang w:val="en-US"/>
              </w:rPr>
              <w:t>reusing</w:t>
            </w:r>
            <w:r>
              <w:rPr>
                <w:color w:val="FF0000"/>
                <w:u w:val="single"/>
              </w:rPr>
              <w:t xml:space="preserve"> below fields corresponding to a cell with smallest cell index with invalid FDRA values;</w:t>
            </w:r>
          </w:p>
          <w:p w:rsidR="00F7628A" w:rsidRDefault="009D24C3">
            <w:pPr>
              <w:pStyle w:val="B1"/>
              <w:spacing w:after="0"/>
              <w:ind w:firstLine="0"/>
              <w:rPr>
                <w:color w:val="FF0000"/>
                <w:u w:val="single"/>
                <w:lang w:eastAsia="zh-CN"/>
              </w:rPr>
            </w:pPr>
            <w:r>
              <w:rPr>
                <w:color w:val="FF0000"/>
                <w:u w:val="single"/>
                <w:lang w:eastAsia="zh-CN"/>
              </w:rPr>
              <w:t>-</w:t>
            </w:r>
            <w:r>
              <w:rPr>
                <w:color w:val="FF0000"/>
                <w:u w:val="single"/>
                <w:lang w:eastAsia="zh-CN"/>
              </w:rPr>
              <w:tab/>
              <w:t xml:space="preserve">Modulation and coding scheme of transport block 1 </w:t>
            </w:r>
          </w:p>
          <w:p w:rsidR="00F7628A" w:rsidRDefault="009D24C3">
            <w:pPr>
              <w:pStyle w:val="B2"/>
              <w:spacing w:after="0"/>
              <w:rPr>
                <w:color w:val="FF0000"/>
                <w:u w:val="single"/>
                <w:lang w:eastAsia="zh-CN"/>
              </w:rPr>
            </w:pPr>
            <w:r>
              <w:rPr>
                <w:color w:val="FF0000"/>
                <w:u w:val="single"/>
                <w:lang w:eastAsia="zh-CN"/>
              </w:rPr>
              <w:t>-</w:t>
            </w:r>
            <w:r>
              <w:rPr>
                <w:color w:val="FF0000"/>
                <w:u w:val="single"/>
                <w:lang w:eastAsia="zh-CN"/>
              </w:rPr>
              <w:tab/>
              <w:t xml:space="preserve">New data indicator of transport block 1 </w:t>
            </w:r>
          </w:p>
          <w:p w:rsidR="00F7628A" w:rsidRDefault="009D24C3">
            <w:pPr>
              <w:pStyle w:val="B2"/>
              <w:spacing w:after="0"/>
              <w:rPr>
                <w:color w:val="FF0000"/>
                <w:u w:val="single"/>
                <w:lang w:eastAsia="zh-CN"/>
              </w:rPr>
            </w:pPr>
            <w:r>
              <w:rPr>
                <w:color w:val="FF0000"/>
                <w:u w:val="single"/>
                <w:lang w:eastAsia="zh-CN"/>
              </w:rPr>
              <w:t>-</w:t>
            </w:r>
            <w:r>
              <w:rPr>
                <w:color w:val="FF0000"/>
                <w:u w:val="single"/>
                <w:lang w:eastAsia="zh-CN"/>
              </w:rPr>
              <w:tab/>
              <w:t xml:space="preserve">Redundancy version of transport block 1 </w:t>
            </w:r>
          </w:p>
          <w:p w:rsidR="00F7628A" w:rsidRPr="00B0025C" w:rsidRDefault="009D24C3" w:rsidP="00B0025C">
            <w:pPr>
              <w:pStyle w:val="B2"/>
              <w:spacing w:after="0"/>
              <w:rPr>
                <w:color w:val="FF0000"/>
                <w:u w:val="single"/>
                <w:lang w:eastAsia="zh-CN"/>
              </w:rPr>
            </w:pPr>
            <w:r>
              <w:rPr>
                <w:color w:val="FF0000"/>
                <w:u w:val="single"/>
                <w:lang w:eastAsia="zh-CN"/>
              </w:rPr>
              <w:t>-</w:t>
            </w:r>
            <w:r>
              <w:rPr>
                <w:color w:val="FF0000"/>
                <w:u w:val="single"/>
                <w:lang w:eastAsia="zh-CN"/>
              </w:rPr>
              <w:tab/>
              <w:t>HARQ process number</w:t>
            </w:r>
          </w:p>
        </w:tc>
      </w:tr>
    </w:tbl>
    <w:p w:rsidR="00F7628A" w:rsidRDefault="00F7628A">
      <w:pPr>
        <w:rPr>
          <w:rFonts w:eastAsiaTheme="minorEastAsia"/>
          <w:b/>
          <w:i/>
          <w:lang w:eastAsia="zh-CN"/>
        </w:rPr>
      </w:pPr>
    </w:p>
    <w:p w:rsidR="00F7628A" w:rsidRDefault="009D24C3">
      <w:pPr>
        <w:rPr>
          <w:rFonts w:eastAsiaTheme="minorEastAsia"/>
          <w:b/>
          <w:i/>
          <w:lang w:eastAsia="zh-CN"/>
        </w:rPr>
      </w:pPr>
      <w:r>
        <w:rPr>
          <w:rFonts w:eastAsiaTheme="minorEastAsia" w:hint="eastAsia"/>
          <w:b/>
          <w:i/>
          <w:lang w:eastAsia="zh-CN"/>
        </w:rPr>
        <w:t>P</w:t>
      </w:r>
      <w:r>
        <w:rPr>
          <w:rFonts w:eastAsiaTheme="minorEastAsia"/>
          <w:b/>
          <w:i/>
          <w:lang w:eastAsia="zh-CN"/>
        </w:rPr>
        <w:t>roposal 3: Do not support in Rel-18 the combination of DCI format 0_3 and Rel-17/18 PUSCH coverage enhancements (DWS, TBoMS, Available Slot counting, DM-RS bundling).</w:t>
      </w:r>
    </w:p>
    <w:p w:rsidR="00F7628A" w:rsidRDefault="00F7628A">
      <w:pPr>
        <w:rPr>
          <w:rFonts w:eastAsiaTheme="minorEastAsia"/>
          <w:b/>
          <w:i/>
          <w:lang w:eastAsia="zh-CN"/>
        </w:rPr>
      </w:pPr>
    </w:p>
    <w:p w:rsidR="00F7628A" w:rsidRDefault="009D24C3">
      <w:pPr>
        <w:pStyle w:val="Heading1"/>
        <w:rPr>
          <w:rFonts w:eastAsiaTheme="minorEastAsia"/>
          <w:lang w:eastAsia="zh-CN"/>
        </w:rPr>
      </w:pPr>
      <w:r>
        <w:rPr>
          <w:rFonts w:eastAsiaTheme="minorEastAsia" w:hint="eastAsia"/>
          <w:lang w:eastAsia="zh-CN"/>
        </w:rPr>
        <w:t>R</w:t>
      </w:r>
      <w:r>
        <w:rPr>
          <w:rFonts w:eastAsiaTheme="minorEastAsia"/>
          <w:lang w:eastAsia="zh-CN"/>
        </w:rPr>
        <w:t>eference</w:t>
      </w:r>
    </w:p>
    <w:p w:rsidR="00F7628A" w:rsidRDefault="009D24C3">
      <w:pPr>
        <w:rPr>
          <w:szCs w:val="22"/>
        </w:rPr>
      </w:pPr>
      <w:r>
        <w:rPr>
          <w:rFonts w:eastAsiaTheme="minorEastAsia" w:hint="eastAsia"/>
          <w:szCs w:val="22"/>
          <w:lang w:eastAsia="zh-CN"/>
        </w:rPr>
        <w:t>[</w:t>
      </w:r>
      <w:r>
        <w:rPr>
          <w:rFonts w:eastAsiaTheme="minorEastAsia"/>
          <w:szCs w:val="22"/>
          <w:lang w:eastAsia="zh-CN"/>
        </w:rPr>
        <w:t>1] R1-2308626 Summary of discussion on higher layer signaling for MC-Enh</w:t>
      </w:r>
      <w:r>
        <w:rPr>
          <w:rFonts w:hint="eastAsia"/>
          <w:szCs w:val="22"/>
        </w:rPr>
        <w:t>.</w:t>
      </w:r>
    </w:p>
    <w:p w:rsidR="00F7628A" w:rsidRDefault="009D24C3">
      <w:pPr>
        <w:rPr>
          <w:rFonts w:eastAsiaTheme="minorEastAsia"/>
          <w:szCs w:val="22"/>
          <w:lang w:eastAsia="zh-CN"/>
        </w:rPr>
      </w:pPr>
      <w:r>
        <w:rPr>
          <w:rFonts w:eastAsiaTheme="minorEastAsia" w:hint="eastAsia"/>
          <w:szCs w:val="22"/>
          <w:lang w:eastAsia="zh-CN"/>
        </w:rPr>
        <w:t>[</w:t>
      </w:r>
      <w:r>
        <w:rPr>
          <w:rFonts w:eastAsiaTheme="minorEastAsia"/>
          <w:szCs w:val="22"/>
          <w:lang w:eastAsia="zh-CN"/>
        </w:rPr>
        <w:t>2] R1-2310651 Feature lead summary #4 on multi-cell PUSCH/PDSCH scheduling with a single DCI</w:t>
      </w:r>
    </w:p>
    <w:sectPr w:rsidR="00F7628A" w:rsidSect="00F7628A">
      <w:footerReference w:type="default" r:id="rId8"/>
      <w:pgSz w:w="11906" w:h="16838"/>
      <w:pgMar w:top="1440" w:right="1080" w:bottom="1440" w:left="108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FFFB7A9" w15:done="0"/>
  <w15:commentEx w15:paraId="DFFFF91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7C9" w:rsidRDefault="008E67C9">
      <w:pPr>
        <w:spacing w:line="240" w:lineRule="auto"/>
      </w:pPr>
      <w:r>
        <w:separator/>
      </w:r>
    </w:p>
  </w:endnote>
  <w:endnote w:type="continuationSeparator" w:id="0">
    <w:p w:rsidR="008E67C9" w:rsidRDefault="008E67C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default"/>
    <w:sig w:usb0="00000000" w:usb1="00000000" w:usb2="00000016" w:usb3="00000000" w:csb0="0004000F" w:csb1="00000000"/>
  </w:font>
  <w:font w:name="等线 Light">
    <w:altName w:val="Arial Unicode MS"/>
    <w:charset w:val="86"/>
    <w:family w:val="auto"/>
    <w:pitch w:val="default"/>
    <w:sig w:usb0="00000000" w:usb1="00000000"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Gubbi"/>
    <w:panose1 w:val="020B0503020000020004"/>
    <w:charset w:val="81"/>
    <w:family w:val="swiss"/>
    <w:pitch w:val="variable"/>
    <w:sig w:usb0="900002AF" w:usb1="09D77CFB" w:usb2="00000012" w:usb3="00000000" w:csb0="00080001" w:csb1="00000000"/>
  </w:font>
  <w:font w:name="DejaVu Math TeX Gyre">
    <w:altName w:val="Cambria Math"/>
    <w:charset w:val="00"/>
    <w:family w:val="auto"/>
    <w:pitch w:val="default"/>
    <w:sig w:usb0="00000001" w:usb1="4201F9EE" w:usb2="02000000" w:usb3="00000000" w:csb0="60000193" w:csb1="0DD4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7C9" w:rsidRDefault="008E67C9">
    <w:pPr>
      <w:pStyle w:val="Footer"/>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mso-width-relative:page;mso-height-relative:page"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" filled="f" stroked="f" strokeweight=".5pt">
          <v:textbox style="mso-fit-shape-to-text:t" inset="0,0,0,0">
            <w:txbxContent>
              <w:p w:rsidR="008E67C9" w:rsidRDefault="008E67C9">
                <w:pPr>
                  <w:pStyle w:val="Footer"/>
                </w:pPr>
                <w:fldSimple w:instr=" PAGE  \* MERGEFORMAT ">
                  <w:r w:rsidR="00447159">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7C9" w:rsidRDefault="008E67C9">
      <w:pPr>
        <w:spacing w:after="0"/>
      </w:pPr>
      <w:r>
        <w:separator/>
      </w:r>
    </w:p>
  </w:footnote>
  <w:footnote w:type="continuationSeparator" w:id="0">
    <w:p w:rsidR="008E67C9" w:rsidRDefault="008E67C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EDA0B7C"/>
    <w:multiLevelType w:val="singleLevel"/>
    <w:tmpl w:val="DEDA0B7C"/>
    <w:lvl w:ilvl="0">
      <w:start w:val="1"/>
      <w:numFmt w:val="bullet"/>
      <w:lvlText w:val=""/>
      <w:lvlJc w:val="left"/>
      <w:pPr>
        <w:tabs>
          <w:tab w:val="left" w:pos="420"/>
        </w:tabs>
        <w:ind w:left="420" w:hanging="420"/>
      </w:pPr>
      <w:rPr>
        <w:rFonts w:ascii="Wingdings" w:hAnsi="Wingdings" w:hint="default"/>
      </w:rPr>
    </w:lvl>
  </w:abstractNum>
  <w:abstractNum w:abstractNumId="1">
    <w:nsid w:val="DFFC5672"/>
    <w:multiLevelType w:val="multilevel"/>
    <w:tmpl w:val="DFFC5672"/>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3">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57632BCF"/>
    <w:multiLevelType w:val="multilevel"/>
    <w:tmpl w:val="57632BCF"/>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num w:numId="1">
    <w:abstractNumId w:val="2"/>
  </w:num>
  <w:num w:numId="2">
    <w:abstractNumId w:val="5"/>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梁彬(Bin)">
    <w15:presenceInfo w15:providerId="AD" w15:userId="S-1-5-21-1439682878-3164288827-2260694920-356524"/>
  </w15:person>
  <w15:person w15:author="wfzhang">
    <w15:presenceInfo w15:providerId="None" w15:userId="wfzh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7818"/>
    <w:rsid w:val="9DAEBCA2"/>
    <w:rsid w:val="9FBF8B8A"/>
    <w:rsid w:val="BD2F8004"/>
    <w:rsid w:val="BEE5CE52"/>
    <w:rsid w:val="BF7FE948"/>
    <w:rsid w:val="DCACAB6A"/>
    <w:rsid w:val="DDD2DB86"/>
    <w:rsid w:val="E4FC5226"/>
    <w:rsid w:val="EF3EC798"/>
    <w:rsid w:val="F3ED1411"/>
    <w:rsid w:val="F3F5F2CA"/>
    <w:rsid w:val="FBE9F63E"/>
    <w:rsid w:val="FCDFD4E3"/>
    <w:rsid w:val="FEDFD2B1"/>
    <w:rsid w:val="FF2A606F"/>
    <w:rsid w:val="00005BE1"/>
    <w:rsid w:val="0001312D"/>
    <w:rsid w:val="000137B9"/>
    <w:rsid w:val="00013A8A"/>
    <w:rsid w:val="00016963"/>
    <w:rsid w:val="000416FC"/>
    <w:rsid w:val="00050A6C"/>
    <w:rsid w:val="00061602"/>
    <w:rsid w:val="0007528F"/>
    <w:rsid w:val="000F6ABA"/>
    <w:rsid w:val="00130589"/>
    <w:rsid w:val="00136757"/>
    <w:rsid w:val="00180D4B"/>
    <w:rsid w:val="001E2443"/>
    <w:rsid w:val="001E3AD3"/>
    <w:rsid w:val="001F00DC"/>
    <w:rsid w:val="001F4FBD"/>
    <w:rsid w:val="001F51B2"/>
    <w:rsid w:val="0021405F"/>
    <w:rsid w:val="00230B3C"/>
    <w:rsid w:val="00237393"/>
    <w:rsid w:val="002728A7"/>
    <w:rsid w:val="00295C97"/>
    <w:rsid w:val="002B5FF5"/>
    <w:rsid w:val="002D1FB3"/>
    <w:rsid w:val="002D2F86"/>
    <w:rsid w:val="00306DA2"/>
    <w:rsid w:val="00313253"/>
    <w:rsid w:val="003216B9"/>
    <w:rsid w:val="003255F9"/>
    <w:rsid w:val="00331AE3"/>
    <w:rsid w:val="00333A77"/>
    <w:rsid w:val="003401A6"/>
    <w:rsid w:val="003507FC"/>
    <w:rsid w:val="003513F8"/>
    <w:rsid w:val="0037332B"/>
    <w:rsid w:val="00383175"/>
    <w:rsid w:val="0038492D"/>
    <w:rsid w:val="003D5F0B"/>
    <w:rsid w:val="003D7A86"/>
    <w:rsid w:val="003E775F"/>
    <w:rsid w:val="004030D4"/>
    <w:rsid w:val="00405210"/>
    <w:rsid w:val="00412B7D"/>
    <w:rsid w:val="00422C87"/>
    <w:rsid w:val="00447159"/>
    <w:rsid w:val="0045174D"/>
    <w:rsid w:val="00486545"/>
    <w:rsid w:val="00496CC2"/>
    <w:rsid w:val="004A163D"/>
    <w:rsid w:val="004A7E8B"/>
    <w:rsid w:val="004B4E03"/>
    <w:rsid w:val="004B6513"/>
    <w:rsid w:val="004F2516"/>
    <w:rsid w:val="004F6F16"/>
    <w:rsid w:val="00500B6D"/>
    <w:rsid w:val="00502C9A"/>
    <w:rsid w:val="005038D2"/>
    <w:rsid w:val="00507C1D"/>
    <w:rsid w:val="00546D96"/>
    <w:rsid w:val="00573460"/>
    <w:rsid w:val="00591F51"/>
    <w:rsid w:val="005948C7"/>
    <w:rsid w:val="005B04C7"/>
    <w:rsid w:val="005D2B23"/>
    <w:rsid w:val="005F4600"/>
    <w:rsid w:val="006033FA"/>
    <w:rsid w:val="00604E95"/>
    <w:rsid w:val="00606D77"/>
    <w:rsid w:val="00620C43"/>
    <w:rsid w:val="00621542"/>
    <w:rsid w:val="00640195"/>
    <w:rsid w:val="006660C9"/>
    <w:rsid w:val="006E5D24"/>
    <w:rsid w:val="006F2C11"/>
    <w:rsid w:val="006F7D02"/>
    <w:rsid w:val="00753BD9"/>
    <w:rsid w:val="00767D4D"/>
    <w:rsid w:val="00770E78"/>
    <w:rsid w:val="00777BE2"/>
    <w:rsid w:val="00785AF3"/>
    <w:rsid w:val="00793322"/>
    <w:rsid w:val="00794242"/>
    <w:rsid w:val="007A2331"/>
    <w:rsid w:val="007A3986"/>
    <w:rsid w:val="007C516F"/>
    <w:rsid w:val="007D569E"/>
    <w:rsid w:val="007F1C13"/>
    <w:rsid w:val="007F587E"/>
    <w:rsid w:val="007F6664"/>
    <w:rsid w:val="00811B31"/>
    <w:rsid w:val="00844878"/>
    <w:rsid w:val="00844D4B"/>
    <w:rsid w:val="00854C6B"/>
    <w:rsid w:val="008669BB"/>
    <w:rsid w:val="00866BDD"/>
    <w:rsid w:val="00867A68"/>
    <w:rsid w:val="00882F1C"/>
    <w:rsid w:val="008A2A37"/>
    <w:rsid w:val="008B4C6E"/>
    <w:rsid w:val="008B713D"/>
    <w:rsid w:val="008C2A5B"/>
    <w:rsid w:val="008C4524"/>
    <w:rsid w:val="008D57FB"/>
    <w:rsid w:val="008E67C9"/>
    <w:rsid w:val="008F28C3"/>
    <w:rsid w:val="008F2D4D"/>
    <w:rsid w:val="00914FA7"/>
    <w:rsid w:val="00920A5C"/>
    <w:rsid w:val="009301FD"/>
    <w:rsid w:val="0094393A"/>
    <w:rsid w:val="0095557C"/>
    <w:rsid w:val="0096704E"/>
    <w:rsid w:val="00971CD6"/>
    <w:rsid w:val="00981517"/>
    <w:rsid w:val="00993658"/>
    <w:rsid w:val="009C3D4A"/>
    <w:rsid w:val="009D0380"/>
    <w:rsid w:val="009D1ACE"/>
    <w:rsid w:val="009D24C3"/>
    <w:rsid w:val="009D6372"/>
    <w:rsid w:val="00A14E5E"/>
    <w:rsid w:val="00A43D6E"/>
    <w:rsid w:val="00A646AD"/>
    <w:rsid w:val="00A80902"/>
    <w:rsid w:val="00AA5F25"/>
    <w:rsid w:val="00AB13B9"/>
    <w:rsid w:val="00AC70EA"/>
    <w:rsid w:val="00AD3862"/>
    <w:rsid w:val="00AD5245"/>
    <w:rsid w:val="00AE16BC"/>
    <w:rsid w:val="00AF0618"/>
    <w:rsid w:val="00B0025C"/>
    <w:rsid w:val="00B237CB"/>
    <w:rsid w:val="00B32A24"/>
    <w:rsid w:val="00B5670E"/>
    <w:rsid w:val="00B62905"/>
    <w:rsid w:val="00B806DB"/>
    <w:rsid w:val="00B84A33"/>
    <w:rsid w:val="00B86825"/>
    <w:rsid w:val="00B912DC"/>
    <w:rsid w:val="00BA2F40"/>
    <w:rsid w:val="00BB2F31"/>
    <w:rsid w:val="00BF0F86"/>
    <w:rsid w:val="00BF532A"/>
    <w:rsid w:val="00BF7B70"/>
    <w:rsid w:val="00C01BFB"/>
    <w:rsid w:val="00C03602"/>
    <w:rsid w:val="00C41272"/>
    <w:rsid w:val="00C4562F"/>
    <w:rsid w:val="00C54C97"/>
    <w:rsid w:val="00C5746E"/>
    <w:rsid w:val="00C9042B"/>
    <w:rsid w:val="00C93B71"/>
    <w:rsid w:val="00C969B3"/>
    <w:rsid w:val="00CD4D51"/>
    <w:rsid w:val="00CD7C91"/>
    <w:rsid w:val="00D007D7"/>
    <w:rsid w:val="00D06B21"/>
    <w:rsid w:val="00D110DB"/>
    <w:rsid w:val="00D11B8E"/>
    <w:rsid w:val="00D13987"/>
    <w:rsid w:val="00D26317"/>
    <w:rsid w:val="00D33060"/>
    <w:rsid w:val="00D548DD"/>
    <w:rsid w:val="00D562D4"/>
    <w:rsid w:val="00D65005"/>
    <w:rsid w:val="00D7337F"/>
    <w:rsid w:val="00DC4B14"/>
    <w:rsid w:val="00DD5328"/>
    <w:rsid w:val="00E03FE1"/>
    <w:rsid w:val="00E12CD1"/>
    <w:rsid w:val="00E12D83"/>
    <w:rsid w:val="00E173BD"/>
    <w:rsid w:val="00E329DC"/>
    <w:rsid w:val="00E36E37"/>
    <w:rsid w:val="00E44490"/>
    <w:rsid w:val="00E53E09"/>
    <w:rsid w:val="00E569A4"/>
    <w:rsid w:val="00E81954"/>
    <w:rsid w:val="00E91497"/>
    <w:rsid w:val="00EA7909"/>
    <w:rsid w:val="00EF4F02"/>
    <w:rsid w:val="00F35ECB"/>
    <w:rsid w:val="00F57818"/>
    <w:rsid w:val="00F669DB"/>
    <w:rsid w:val="00F7628A"/>
    <w:rsid w:val="00F8314B"/>
    <w:rsid w:val="00FA19B7"/>
    <w:rsid w:val="00FB7B09"/>
    <w:rsid w:val="00FE10FC"/>
    <w:rsid w:val="3B7F7A28"/>
    <w:rsid w:val="4227003E"/>
    <w:rsid w:val="431FC805"/>
    <w:rsid w:val="4B7C26A0"/>
    <w:rsid w:val="54FFE712"/>
    <w:rsid w:val="579A92B8"/>
    <w:rsid w:val="65131E68"/>
    <w:rsid w:val="68F72E1E"/>
    <w:rsid w:val="6EFF0D5E"/>
    <w:rsid w:val="6EFFD5C1"/>
    <w:rsid w:val="6F3931B0"/>
    <w:rsid w:val="6FF7EEFB"/>
    <w:rsid w:val="725B8B7A"/>
    <w:rsid w:val="73E7CF16"/>
    <w:rsid w:val="757E6940"/>
    <w:rsid w:val="75FF027A"/>
    <w:rsid w:val="779E4700"/>
    <w:rsid w:val="7AB9F5C2"/>
    <w:rsid w:val="7BFFC984"/>
    <w:rsid w:val="7EB71746"/>
    <w:rsid w:val="7EFDAD49"/>
    <w:rsid w:val="7F7FBB08"/>
    <w:rsid w:val="7FAFD5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semiHidden="0" w:uiPriority="0" w:qFormat="1"/>
    <w:lsdException w:name="heading 4" w:uiPriority="9"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uiPriority="0" w:unhideWhenUsed="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28A"/>
    <w:pPr>
      <w:spacing w:after="120" w:line="276" w:lineRule="auto"/>
      <w:jc w:val="both"/>
    </w:pPr>
    <w:rPr>
      <w:rFonts w:ascii="Times New Roman" w:eastAsia="Times New Roman" w:hAnsi="Times New Roman" w:cs="Times New Roman"/>
      <w:sz w:val="22"/>
      <w:szCs w:val="24"/>
      <w:lang w:eastAsia="en-US"/>
    </w:rPr>
  </w:style>
  <w:style w:type="paragraph" w:styleId="Heading1">
    <w:name w:val="heading 1"/>
    <w:basedOn w:val="Normal"/>
    <w:next w:val="Normal"/>
    <w:link w:val="Heading1Char"/>
    <w:qFormat/>
    <w:rsid w:val="00F7628A"/>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nhideWhenUsed/>
    <w:qFormat/>
    <w:rsid w:val="00F7628A"/>
    <w:pPr>
      <w:keepNext/>
      <w:keepLines/>
      <w:numPr>
        <w:ilvl w:val="1"/>
        <w:numId w:val="1"/>
      </w:numPr>
      <w:tabs>
        <w:tab w:val="left" w:pos="612"/>
      </w:tabs>
      <w:spacing w:before="100" w:after="100"/>
      <w:outlineLvl w:val="1"/>
    </w:pPr>
    <w:rPr>
      <w:rFonts w:eastAsiaTheme="majorEastAsia" w:cstheme="majorBidi"/>
      <w:b/>
      <w:bCs/>
      <w:sz w:val="24"/>
      <w:szCs w:val="32"/>
    </w:rPr>
  </w:style>
  <w:style w:type="paragraph" w:styleId="Heading3">
    <w:name w:val="heading 3"/>
    <w:basedOn w:val="Normal"/>
    <w:next w:val="Normal"/>
    <w:link w:val="Heading3Char"/>
    <w:unhideWhenUsed/>
    <w:qFormat/>
    <w:rsid w:val="00F7628A"/>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F7628A"/>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F7628A"/>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nhideWhenUsed/>
    <w:qFormat/>
    <w:rsid w:val="00F7628A"/>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nhideWhenUsed/>
    <w:qFormat/>
    <w:rsid w:val="00F7628A"/>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nhideWhenUsed/>
    <w:qFormat/>
    <w:rsid w:val="00F7628A"/>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nhideWhenUsed/>
    <w:qFormat/>
    <w:rsid w:val="00F7628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F7628A"/>
    <w:pPr>
      <w:spacing w:after="0" w:line="240" w:lineRule="auto"/>
    </w:pPr>
    <w:rPr>
      <w:sz w:val="18"/>
      <w:szCs w:val="18"/>
    </w:rPr>
  </w:style>
  <w:style w:type="character" w:styleId="CommentReference">
    <w:name w:val="annotation reference"/>
    <w:basedOn w:val="DefaultParagraphFont"/>
    <w:uiPriority w:val="99"/>
    <w:unhideWhenUsed/>
    <w:qFormat/>
    <w:rsid w:val="00F7628A"/>
    <w:rPr>
      <w:sz w:val="21"/>
      <w:szCs w:val="21"/>
    </w:rPr>
  </w:style>
  <w:style w:type="paragraph" w:styleId="CommentText">
    <w:name w:val="annotation text"/>
    <w:basedOn w:val="Normal"/>
    <w:link w:val="CommentTextChar"/>
    <w:unhideWhenUsed/>
    <w:qFormat/>
    <w:rsid w:val="00F7628A"/>
  </w:style>
  <w:style w:type="paragraph" w:styleId="CommentSubject">
    <w:name w:val="annotation subject"/>
    <w:basedOn w:val="CommentText"/>
    <w:next w:val="CommentText"/>
    <w:link w:val="CommentSubjectChar"/>
    <w:uiPriority w:val="99"/>
    <w:semiHidden/>
    <w:unhideWhenUsed/>
    <w:qFormat/>
    <w:rsid w:val="00F7628A"/>
    <w:rPr>
      <w:b/>
      <w:bCs/>
    </w:rPr>
  </w:style>
  <w:style w:type="paragraph" w:styleId="Footer">
    <w:name w:val="footer"/>
    <w:basedOn w:val="Normal"/>
    <w:link w:val="FooterChar"/>
    <w:uiPriority w:val="99"/>
    <w:unhideWhenUsed/>
    <w:qFormat/>
    <w:rsid w:val="00F7628A"/>
    <w:pPr>
      <w:tabs>
        <w:tab w:val="center" w:pos="4153"/>
        <w:tab w:val="right" w:pos="8306"/>
      </w:tabs>
      <w:snapToGrid w:val="0"/>
      <w:spacing w:line="240" w:lineRule="auto"/>
    </w:pPr>
    <w:rPr>
      <w:sz w:val="18"/>
      <w:szCs w:val="18"/>
    </w:rPr>
  </w:style>
  <w:style w:type="paragraph" w:styleId="Header">
    <w:name w:val="header"/>
    <w:basedOn w:val="Normal"/>
    <w:link w:val="HeaderChar"/>
    <w:qFormat/>
    <w:rsid w:val="00F7628A"/>
    <w:pPr>
      <w:tabs>
        <w:tab w:val="center" w:pos="4536"/>
        <w:tab w:val="right" w:pos="9072"/>
      </w:tabs>
      <w:spacing w:after="0"/>
    </w:pPr>
    <w:rPr>
      <w:rFonts w:ascii="Arial" w:eastAsia="MS Mincho" w:hAnsi="Arial"/>
      <w:b/>
    </w:rPr>
  </w:style>
  <w:style w:type="table" w:styleId="TableGrid">
    <w:name w:val="Table Grid"/>
    <w:basedOn w:val="TableNormal"/>
    <w:uiPriority w:val="39"/>
    <w:qFormat/>
    <w:rsid w:val="00F762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F7628A"/>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F7628A"/>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F7628A"/>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F7628A"/>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F7628A"/>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F7628A"/>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F7628A"/>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F7628A"/>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F7628A"/>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F7628A"/>
    <w:rPr>
      <w:rFonts w:ascii="Arial" w:eastAsia="MS Mincho" w:hAnsi="Arial" w:cs="Times New Roman"/>
      <w:b/>
      <w:kern w:val="0"/>
      <w:sz w:val="20"/>
      <w:szCs w:val="24"/>
      <w:lang w:eastAsia="en-US"/>
    </w:rPr>
  </w:style>
  <w:style w:type="paragraph" w:styleId="ListParagraph">
    <w:name w:val="List Paragraph"/>
    <w:basedOn w:val="Normal"/>
    <w:link w:val="ListParagraphChar"/>
    <w:uiPriority w:val="34"/>
    <w:qFormat/>
    <w:rsid w:val="00F7628A"/>
    <w:pPr>
      <w:ind w:firstLineChars="200" w:firstLine="420"/>
    </w:pPr>
  </w:style>
  <w:style w:type="paragraph" w:styleId="NoSpacing">
    <w:name w:val="No Spacing"/>
    <w:uiPriority w:val="1"/>
    <w:qFormat/>
    <w:rsid w:val="00F7628A"/>
    <w:rPr>
      <w:rFonts w:ascii="Times New Roman" w:eastAsia="Times New Roman" w:hAnsi="Times New Roman" w:cs="Times New Roman"/>
      <w:szCs w:val="24"/>
      <w:lang w:eastAsia="en-US"/>
    </w:rPr>
  </w:style>
  <w:style w:type="character" w:customStyle="1" w:styleId="CommentTextChar">
    <w:name w:val="Comment Text Char"/>
    <w:basedOn w:val="DefaultParagraphFont"/>
    <w:link w:val="CommentText"/>
    <w:qFormat/>
    <w:rsid w:val="00F7628A"/>
    <w:rPr>
      <w:rFonts w:ascii="Times New Roman" w:eastAsia="Times New Roman" w:hAnsi="Times New Roman" w:cs="Times New Roman"/>
      <w:kern w:val="0"/>
      <w:sz w:val="22"/>
      <w:szCs w:val="24"/>
      <w:lang w:eastAsia="en-US"/>
    </w:rPr>
  </w:style>
  <w:style w:type="character" w:customStyle="1" w:styleId="CommentSubjectChar">
    <w:name w:val="Comment Subject Char"/>
    <w:basedOn w:val="CommentTextChar"/>
    <w:link w:val="CommentSubject"/>
    <w:uiPriority w:val="99"/>
    <w:semiHidden/>
    <w:qFormat/>
    <w:rsid w:val="00F7628A"/>
    <w:rPr>
      <w:rFonts w:ascii="Times New Roman" w:eastAsia="Times New Roman" w:hAnsi="Times New Roman" w:cs="Times New Roman"/>
      <w:b/>
      <w:bCs/>
      <w:kern w:val="0"/>
      <w:sz w:val="22"/>
      <w:szCs w:val="24"/>
      <w:lang w:eastAsia="en-US"/>
    </w:rPr>
  </w:style>
  <w:style w:type="character" w:customStyle="1" w:styleId="BalloonTextChar">
    <w:name w:val="Balloon Text Char"/>
    <w:basedOn w:val="DefaultParagraphFont"/>
    <w:link w:val="BalloonText"/>
    <w:uiPriority w:val="99"/>
    <w:semiHidden/>
    <w:qFormat/>
    <w:rsid w:val="00F7628A"/>
    <w:rPr>
      <w:rFonts w:ascii="Times New Roman" w:eastAsia="Times New Roman" w:hAnsi="Times New Roman" w:cs="Times New Roman"/>
      <w:kern w:val="0"/>
      <w:sz w:val="18"/>
      <w:szCs w:val="18"/>
      <w:lang w:eastAsia="en-US"/>
    </w:rPr>
  </w:style>
  <w:style w:type="paragraph" w:customStyle="1" w:styleId="B2">
    <w:name w:val="B2"/>
    <w:basedOn w:val="Normal"/>
    <w:link w:val="B2Char"/>
    <w:qFormat/>
    <w:rsid w:val="00F7628A"/>
    <w:pPr>
      <w:spacing w:after="180" w:line="240" w:lineRule="auto"/>
      <w:ind w:left="851" w:hanging="284"/>
    </w:pPr>
    <w:rPr>
      <w:rFonts w:eastAsia="SimSun"/>
      <w:sz w:val="20"/>
      <w:szCs w:val="20"/>
      <w:lang w:val="en-GB"/>
    </w:rPr>
  </w:style>
  <w:style w:type="character" w:customStyle="1" w:styleId="B2Char">
    <w:name w:val="B2 Char"/>
    <w:link w:val="B2"/>
    <w:qFormat/>
    <w:locked/>
    <w:rsid w:val="00F7628A"/>
    <w:rPr>
      <w:rFonts w:ascii="Times New Roman" w:eastAsia="SimSun" w:hAnsi="Times New Roman" w:cs="Times New Roman"/>
      <w:kern w:val="0"/>
      <w:sz w:val="20"/>
      <w:szCs w:val="20"/>
      <w:lang w:val="en-GB" w:eastAsia="en-US"/>
    </w:rPr>
  </w:style>
  <w:style w:type="paragraph" w:customStyle="1" w:styleId="B1">
    <w:name w:val="B1"/>
    <w:basedOn w:val="Normal"/>
    <w:link w:val="B1Char1"/>
    <w:qFormat/>
    <w:rsid w:val="00F7628A"/>
    <w:pPr>
      <w:spacing w:after="180" w:line="240" w:lineRule="auto"/>
      <w:ind w:left="568" w:hanging="284"/>
    </w:pPr>
    <w:rPr>
      <w:rFonts w:eastAsia="SimSun"/>
      <w:sz w:val="20"/>
      <w:szCs w:val="20"/>
      <w:lang w:val="en-GB"/>
    </w:rPr>
  </w:style>
  <w:style w:type="character" w:customStyle="1" w:styleId="B1Char1">
    <w:name w:val="B1 Char1"/>
    <w:link w:val="B1"/>
    <w:qFormat/>
    <w:rsid w:val="00F7628A"/>
    <w:rPr>
      <w:rFonts w:ascii="Times New Roman" w:eastAsia="SimSun" w:hAnsi="Times New Roman" w:cs="Times New Roman"/>
      <w:kern w:val="0"/>
      <w:sz w:val="20"/>
      <w:szCs w:val="20"/>
      <w:lang w:val="en-GB" w:eastAsia="en-US"/>
    </w:rPr>
  </w:style>
  <w:style w:type="character" w:customStyle="1" w:styleId="FooterChar">
    <w:name w:val="Footer Char"/>
    <w:basedOn w:val="DefaultParagraphFont"/>
    <w:link w:val="Footer"/>
    <w:uiPriority w:val="99"/>
    <w:qFormat/>
    <w:rsid w:val="00F7628A"/>
    <w:rPr>
      <w:rFonts w:ascii="Times New Roman" w:eastAsia="Times New Roman" w:hAnsi="Times New Roman" w:cs="Times New Roman"/>
      <w:kern w:val="0"/>
      <w:sz w:val="18"/>
      <w:szCs w:val="18"/>
      <w:lang w:eastAsia="en-US"/>
    </w:rPr>
  </w:style>
  <w:style w:type="character" w:customStyle="1" w:styleId="B10">
    <w:name w:val="B1 (文字)"/>
    <w:qFormat/>
    <w:locked/>
    <w:rsid w:val="00F7628A"/>
    <w:rPr>
      <w:rFonts w:ascii="Times New Roman" w:hAnsi="Times New Roman"/>
      <w:lang w:val="en-GB" w:eastAsia="en-US"/>
    </w:rPr>
  </w:style>
  <w:style w:type="paragraph" w:customStyle="1" w:styleId="textintend1">
    <w:name w:val="text intend 1"/>
    <w:basedOn w:val="Normal"/>
    <w:uiPriority w:val="99"/>
    <w:qFormat/>
    <w:rsid w:val="00F7628A"/>
    <w:pPr>
      <w:numPr>
        <w:numId w:val="2"/>
      </w:numPr>
      <w:spacing w:line="240" w:lineRule="auto"/>
    </w:pPr>
    <w:rPr>
      <w:rFonts w:eastAsia="MS Gothic"/>
      <w:sz w:val="24"/>
      <w:szCs w:val="20"/>
      <w:lang w:eastAsia="ja-JP"/>
    </w:rPr>
  </w:style>
  <w:style w:type="character" w:customStyle="1" w:styleId="ListParagraphChar">
    <w:name w:val="List Paragraph Char"/>
    <w:link w:val="ListParagraph"/>
    <w:uiPriority w:val="34"/>
    <w:qFormat/>
    <w:locked/>
    <w:rsid w:val="00F7628A"/>
    <w:rPr>
      <w:rFonts w:ascii="Times New Roman" w:eastAsia="Times New Roman" w:hAnsi="Times New Roman" w:cs="Times New Roman"/>
      <w:kern w:val="0"/>
      <w:sz w:val="22"/>
      <w:szCs w:val="24"/>
      <w:lang w:eastAsia="en-US"/>
    </w:rPr>
  </w:style>
  <w:style w:type="character" w:styleId="PlaceholderText">
    <w:name w:val="Placeholder Text"/>
    <w:basedOn w:val="DefaultParagraphFont"/>
    <w:uiPriority w:val="99"/>
    <w:semiHidden/>
    <w:qFormat/>
    <w:rsid w:val="00F7628A"/>
    <w:rPr>
      <w:color w:val="808080"/>
    </w:rPr>
  </w:style>
  <w:style w:type="paragraph" w:styleId="DocumentMap">
    <w:name w:val="Document Map"/>
    <w:basedOn w:val="Normal"/>
    <w:link w:val="DocumentMapChar"/>
    <w:uiPriority w:val="99"/>
    <w:semiHidden/>
    <w:unhideWhenUsed/>
    <w:rsid w:val="0013675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36757"/>
    <w:rPr>
      <w:rFonts w:ascii="Tahoma" w:eastAsia="Times New Roman"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1354</Words>
  <Characters>7723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46</cp:revision>
  <dcterms:created xsi:type="dcterms:W3CDTF">2023-10-24T07:26:00Z</dcterms:created>
  <dcterms:modified xsi:type="dcterms:W3CDTF">2023-10-31T17:15:00Z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1033-11.1.0.11704</vt:lpwstr>
  </property>
  <property fmtid="{D5CDD505-2E9C-101B-9397-08002B2CF9AE}" pid="3" name="ICV">
    <vt:lpwstr>78E27AD7D12845C7B7BC646BEB186D68_12</vt:lpwstr>
  </property>
</Properties>
</file>